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8E3870">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color w:val="auto"/>
          <w:sz w:val="44"/>
          <w:szCs w:val="44"/>
        </w:rPr>
      </w:pPr>
      <w:bookmarkStart w:id="0" w:name="_GoBack"/>
      <w:bookmarkEnd w:id="0"/>
      <w:r>
        <w:rPr>
          <w:rFonts w:hint="eastAsia" w:ascii="方正小标宋简体" w:hAnsi="方正小标宋简体" w:eastAsia="方正小标宋简体" w:cs="Times New Roman"/>
          <w:color w:val="auto"/>
          <w:sz w:val="44"/>
          <w:szCs w:val="44"/>
          <w:lang w:val="en-US" w:eastAsia="zh-CN"/>
        </w:rPr>
        <w:t>高安市2025年</w:t>
      </w:r>
      <w:r>
        <w:rPr>
          <w:rFonts w:hint="eastAsia" w:ascii="方正小标宋简体" w:hAnsi="方正小标宋简体" w:eastAsia="方正小标宋简体" w:cs="Times New Roman"/>
          <w:color w:val="auto"/>
          <w:sz w:val="44"/>
          <w:szCs w:val="44"/>
        </w:rPr>
        <w:t>政府信息公开工作年度报告</w:t>
      </w:r>
    </w:p>
    <w:p w14:paraId="59423C7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auto"/>
          <w:spacing w:val="0"/>
          <w:kern w:val="0"/>
          <w:sz w:val="24"/>
          <w:szCs w:val="24"/>
          <w:shd w:val="clear" w:fill="FFFFFF"/>
          <w:lang w:val="en-US" w:eastAsia="zh-CN" w:bidi="ar"/>
        </w:rPr>
      </w:pPr>
    </w:p>
    <w:p w14:paraId="633D7D2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Chars="0" w:right="0" w:firstLine="560" w:firstLineChars="200"/>
        <w:jc w:val="both"/>
        <w:textAlignment w:val="auto"/>
        <w:rPr>
          <w:rFonts w:hint="default" w:ascii="仿宋_GB2312" w:hAnsi="宋体" w:eastAsia="仿宋_GB2312" w:cs="仿宋_GB2312"/>
          <w:b w:val="0"/>
          <w:bCs/>
          <w:i w:val="0"/>
          <w:iCs w:val="0"/>
          <w:caps w:val="0"/>
          <w:color w:val="auto"/>
          <w:spacing w:val="0"/>
          <w:sz w:val="28"/>
          <w:szCs w:val="28"/>
          <w:shd w:val="clear" w:fill="FFFFFF"/>
        </w:rPr>
      </w:pPr>
      <w:r>
        <w:rPr>
          <w:rFonts w:hint="default" w:ascii="仿宋_GB2312" w:hAnsi="宋体" w:eastAsia="仿宋_GB2312" w:cs="仿宋_GB2312"/>
          <w:b w:val="0"/>
          <w:bCs/>
          <w:i w:val="0"/>
          <w:iCs w:val="0"/>
          <w:caps w:val="0"/>
          <w:color w:val="auto"/>
          <w:spacing w:val="0"/>
          <w:sz w:val="28"/>
          <w:szCs w:val="28"/>
          <w:shd w:val="clear" w:fill="FFFFFF"/>
        </w:rPr>
        <w:t>依据《中华人民共和国政府信息公开条例》第五十条之规定，现发布《高安市2024年政府信息公开工作年度报告》。本报告中所列数据的统计期限为202</w:t>
      </w:r>
      <w:r>
        <w:rPr>
          <w:rFonts w:hint="eastAsia" w:ascii="仿宋_GB2312" w:hAnsi="宋体" w:eastAsia="仿宋_GB2312" w:cs="仿宋_GB2312"/>
          <w:b w:val="0"/>
          <w:bCs/>
          <w:i w:val="0"/>
          <w:iCs w:val="0"/>
          <w:caps w:val="0"/>
          <w:color w:val="auto"/>
          <w:spacing w:val="0"/>
          <w:sz w:val="28"/>
          <w:szCs w:val="28"/>
          <w:shd w:val="clear" w:fill="FFFFFF"/>
          <w:lang w:val="en-US" w:eastAsia="zh-CN"/>
        </w:rPr>
        <w:t>5</w:t>
      </w:r>
      <w:r>
        <w:rPr>
          <w:rFonts w:hint="default" w:ascii="仿宋_GB2312" w:hAnsi="宋体" w:eastAsia="仿宋_GB2312" w:cs="仿宋_GB2312"/>
          <w:b w:val="0"/>
          <w:bCs/>
          <w:i w:val="0"/>
          <w:iCs w:val="0"/>
          <w:caps w:val="0"/>
          <w:color w:val="auto"/>
          <w:spacing w:val="0"/>
          <w:sz w:val="28"/>
          <w:szCs w:val="28"/>
          <w:shd w:val="clear" w:fill="FFFFFF"/>
        </w:rPr>
        <w:t>年1月1日至202</w:t>
      </w:r>
      <w:r>
        <w:rPr>
          <w:rFonts w:hint="eastAsia" w:ascii="仿宋_GB2312" w:hAnsi="宋体" w:eastAsia="仿宋_GB2312" w:cs="仿宋_GB2312"/>
          <w:b w:val="0"/>
          <w:bCs/>
          <w:i w:val="0"/>
          <w:iCs w:val="0"/>
          <w:caps w:val="0"/>
          <w:color w:val="auto"/>
          <w:spacing w:val="0"/>
          <w:sz w:val="28"/>
          <w:szCs w:val="28"/>
          <w:shd w:val="clear" w:fill="FFFFFF"/>
          <w:lang w:val="en-US" w:eastAsia="zh-CN"/>
        </w:rPr>
        <w:t>5</w:t>
      </w:r>
      <w:r>
        <w:rPr>
          <w:rFonts w:hint="default" w:ascii="仿宋_GB2312" w:hAnsi="宋体" w:eastAsia="仿宋_GB2312" w:cs="仿宋_GB2312"/>
          <w:b w:val="0"/>
          <w:bCs/>
          <w:i w:val="0"/>
          <w:iCs w:val="0"/>
          <w:caps w:val="0"/>
          <w:color w:val="auto"/>
          <w:spacing w:val="0"/>
          <w:sz w:val="28"/>
          <w:szCs w:val="28"/>
          <w:shd w:val="clear" w:fill="FFFFFF"/>
        </w:rPr>
        <w:t>年12月31日。如对本报告有任何疑问，请与高安市人民政府办公室联系（电话：0795-5212315，邮编：330800）。</w:t>
      </w:r>
    </w:p>
    <w:p w14:paraId="161181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Chars="0" w:right="0" w:firstLine="560" w:firstLineChars="200"/>
        <w:jc w:val="both"/>
        <w:textAlignment w:val="auto"/>
        <w:rPr>
          <w:rFonts w:hint="eastAsia" w:ascii="黑体" w:hAnsi="黑体" w:eastAsia="黑体" w:cs="黑体"/>
          <w:b/>
          <w:bCs/>
          <w:color w:val="auto"/>
          <w:kern w:val="2"/>
          <w:sz w:val="28"/>
          <w:szCs w:val="28"/>
          <w:shd w:val="clear" w:color="auto" w:fill="FFFFFF"/>
          <w:lang w:val="en-US" w:eastAsia="zh-CN" w:bidi="ar-SA"/>
        </w:rPr>
      </w:pPr>
      <w:r>
        <w:rPr>
          <w:rFonts w:hint="eastAsia" w:ascii="黑体" w:hAnsi="黑体" w:eastAsia="黑体" w:cs="黑体"/>
          <w:b w:val="0"/>
          <w:bCs w:val="0"/>
          <w:color w:val="auto"/>
          <w:kern w:val="2"/>
          <w:sz w:val="28"/>
          <w:szCs w:val="28"/>
          <w:shd w:val="clear" w:color="auto" w:fill="FFFFFF"/>
          <w:lang w:val="en-US" w:eastAsia="zh-CN" w:bidi="ar-SA"/>
        </w:rPr>
        <w:t>一、总体情况</w:t>
      </w:r>
    </w:p>
    <w:p w14:paraId="6FF9CE3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default" w:ascii="仿宋_GB2312" w:hAnsi="宋体" w:eastAsia="仿宋_GB2312" w:cs="仿宋_GB2312"/>
          <w:b w:val="0"/>
          <w:bCs/>
          <w:i w:val="0"/>
          <w:iCs w:val="0"/>
          <w:caps w:val="0"/>
          <w:color w:val="auto"/>
          <w:spacing w:val="0"/>
          <w:kern w:val="2"/>
          <w:sz w:val="28"/>
          <w:szCs w:val="28"/>
          <w:shd w:val="clear" w:fill="FFFFFF"/>
          <w:lang w:val="en-US" w:eastAsia="zh-CN" w:bidi="ar-SA"/>
        </w:rPr>
      </w:pPr>
      <w:r>
        <w:rPr>
          <w:rFonts w:hint="default" w:ascii="仿宋_GB2312" w:hAnsi="宋体" w:eastAsia="仿宋_GB2312" w:cs="仿宋_GB2312"/>
          <w:b w:val="0"/>
          <w:bCs/>
          <w:i w:val="0"/>
          <w:iCs w:val="0"/>
          <w:caps w:val="0"/>
          <w:color w:val="auto"/>
          <w:spacing w:val="0"/>
          <w:kern w:val="2"/>
          <w:sz w:val="28"/>
          <w:szCs w:val="28"/>
          <w:shd w:val="clear" w:fill="FFFFFF"/>
          <w:lang w:val="en-US" w:eastAsia="zh-CN" w:bidi="ar-SA"/>
        </w:rPr>
        <w:t>2025年，</w:t>
      </w:r>
      <w:r>
        <w:rPr>
          <w:rFonts w:hint="eastAsia" w:ascii="仿宋_GB2312" w:hAnsi="宋体" w:eastAsia="仿宋_GB2312" w:cs="仿宋_GB2312"/>
          <w:b w:val="0"/>
          <w:bCs/>
          <w:i w:val="0"/>
          <w:iCs w:val="0"/>
          <w:caps w:val="0"/>
          <w:color w:val="auto"/>
          <w:spacing w:val="0"/>
          <w:kern w:val="2"/>
          <w:sz w:val="28"/>
          <w:szCs w:val="28"/>
          <w:shd w:val="clear" w:fill="FFFFFF"/>
          <w:lang w:val="en-US" w:eastAsia="zh-CN" w:bidi="ar-SA"/>
        </w:rPr>
        <w:t>高安市</w:t>
      </w:r>
      <w:r>
        <w:rPr>
          <w:rFonts w:hint="default" w:ascii="仿宋_GB2312" w:hAnsi="宋体" w:eastAsia="仿宋_GB2312" w:cs="仿宋_GB2312"/>
          <w:b w:val="0"/>
          <w:bCs/>
          <w:i w:val="0"/>
          <w:iCs w:val="0"/>
          <w:caps w:val="0"/>
          <w:color w:val="auto"/>
          <w:spacing w:val="0"/>
          <w:kern w:val="2"/>
          <w:sz w:val="28"/>
          <w:szCs w:val="28"/>
          <w:shd w:val="clear" w:fill="FFFFFF"/>
          <w:lang w:val="en-US" w:eastAsia="zh-CN" w:bidi="ar-SA"/>
        </w:rPr>
        <w:t>深入落实上级关于政府信息公开的决策部署</w:t>
      </w:r>
      <w:r>
        <w:rPr>
          <w:rFonts w:hint="eastAsia" w:ascii="仿宋_GB2312" w:hAnsi="宋体" w:eastAsia="仿宋_GB2312" w:cs="仿宋_GB2312"/>
          <w:b w:val="0"/>
          <w:bCs/>
          <w:i w:val="0"/>
          <w:iCs w:val="0"/>
          <w:caps w:val="0"/>
          <w:color w:val="auto"/>
          <w:spacing w:val="0"/>
          <w:kern w:val="2"/>
          <w:sz w:val="28"/>
          <w:szCs w:val="28"/>
          <w:shd w:val="clear" w:fill="FFFFFF"/>
          <w:lang w:val="en-US" w:eastAsia="zh-CN" w:bidi="ar-SA"/>
        </w:rPr>
        <w:t>，</w:t>
      </w:r>
      <w:r>
        <w:rPr>
          <w:rFonts w:hint="default" w:ascii="仿宋_GB2312" w:hAnsi="宋体" w:eastAsia="仿宋_GB2312" w:cs="仿宋_GB2312"/>
          <w:b w:val="0"/>
          <w:bCs/>
          <w:i w:val="0"/>
          <w:iCs w:val="0"/>
          <w:caps w:val="0"/>
          <w:color w:val="auto"/>
          <w:spacing w:val="0"/>
          <w:kern w:val="2"/>
          <w:sz w:val="28"/>
          <w:szCs w:val="28"/>
          <w:shd w:val="clear" w:fill="FFFFFF"/>
          <w:lang w:val="en-US" w:eastAsia="zh-CN" w:bidi="ar-SA"/>
        </w:rPr>
        <w:t>严格执行《条例》规定，锚定工作目标，健全机制、深化内容、优化平台、强化保障，统筹推进各项工作，全市政府信息公开规范化、标准化水平持续提升，有效保障</w:t>
      </w:r>
      <w:r>
        <w:rPr>
          <w:rFonts w:hint="eastAsia" w:ascii="仿宋_GB2312" w:hAnsi="宋体" w:eastAsia="仿宋_GB2312" w:cs="仿宋_GB2312"/>
          <w:b w:val="0"/>
          <w:bCs/>
          <w:i w:val="0"/>
          <w:iCs w:val="0"/>
          <w:caps w:val="0"/>
          <w:color w:val="auto"/>
          <w:spacing w:val="0"/>
          <w:kern w:val="2"/>
          <w:sz w:val="28"/>
          <w:szCs w:val="28"/>
          <w:shd w:val="clear" w:fill="FFFFFF"/>
          <w:lang w:val="en-US" w:eastAsia="zh-CN" w:bidi="ar-SA"/>
        </w:rPr>
        <w:t>人民</w:t>
      </w:r>
      <w:r>
        <w:rPr>
          <w:rFonts w:hint="default" w:ascii="仿宋_GB2312" w:hAnsi="宋体" w:eastAsia="仿宋_GB2312" w:cs="仿宋_GB2312"/>
          <w:b w:val="0"/>
          <w:bCs/>
          <w:i w:val="0"/>
          <w:iCs w:val="0"/>
          <w:caps w:val="0"/>
          <w:color w:val="auto"/>
          <w:spacing w:val="0"/>
          <w:kern w:val="2"/>
          <w:sz w:val="28"/>
          <w:szCs w:val="28"/>
          <w:shd w:val="clear" w:fill="FFFFFF"/>
          <w:lang w:val="en-US" w:eastAsia="zh-CN" w:bidi="ar-SA"/>
        </w:rPr>
        <w:t>群众知情权、参与权和监督权。</w:t>
      </w:r>
    </w:p>
    <w:p w14:paraId="7C6EE23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highlight w:val="none"/>
          <w:shd w:val="clear" w:fill="FFFFFF"/>
          <w:lang w:eastAsia="zh-CN"/>
        </w:rPr>
      </w:pPr>
      <w:r>
        <w:rPr>
          <w:rFonts w:hint="eastAsia" w:ascii="楷体_GB2312" w:hAnsi="楷体_GB2312" w:eastAsia="楷体_GB2312" w:cs="楷体_GB2312"/>
          <w:b/>
          <w:bCs/>
          <w:i w:val="0"/>
          <w:caps w:val="0"/>
          <w:color w:val="auto"/>
          <w:spacing w:val="0"/>
          <w:sz w:val="28"/>
          <w:szCs w:val="28"/>
          <w:highlight w:val="none"/>
          <w:shd w:val="clear" w:fill="FFFFFF"/>
          <w:lang w:eastAsia="zh-CN"/>
        </w:rPr>
        <w:t>（</w:t>
      </w:r>
      <w:r>
        <w:rPr>
          <w:rFonts w:hint="eastAsia" w:ascii="楷体_GB2312" w:hAnsi="楷体_GB2312" w:eastAsia="楷体_GB2312" w:cs="楷体_GB2312"/>
          <w:b/>
          <w:bCs/>
          <w:i w:val="0"/>
          <w:caps w:val="0"/>
          <w:color w:val="auto"/>
          <w:spacing w:val="0"/>
          <w:sz w:val="28"/>
          <w:szCs w:val="28"/>
          <w:highlight w:val="none"/>
          <w:shd w:val="clear" w:fill="FFFFFF"/>
          <w:lang w:val="en-US" w:eastAsia="zh-CN"/>
        </w:rPr>
        <w:t>一</w:t>
      </w:r>
      <w:r>
        <w:rPr>
          <w:rFonts w:hint="eastAsia" w:ascii="楷体_GB2312" w:hAnsi="楷体_GB2312" w:eastAsia="楷体_GB2312" w:cs="楷体_GB2312"/>
          <w:b/>
          <w:bCs/>
          <w:i w:val="0"/>
          <w:caps w:val="0"/>
          <w:color w:val="auto"/>
          <w:spacing w:val="0"/>
          <w:sz w:val="28"/>
          <w:szCs w:val="28"/>
          <w:highlight w:val="none"/>
          <w:shd w:val="clear" w:fill="FFFFFF"/>
          <w:lang w:eastAsia="zh-CN"/>
        </w:rPr>
        <w:t>）主动公开</w:t>
      </w:r>
    </w:p>
    <w:p w14:paraId="75B1F32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0" w:firstLineChars="200"/>
        <w:jc w:val="both"/>
        <w:textAlignment w:val="auto"/>
        <w:rPr>
          <w:rFonts w:hint="eastAsia"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kern w:val="0"/>
          <w:sz w:val="28"/>
          <w:szCs w:val="28"/>
          <w:shd w:val="clear" w:fill="FFFFFF"/>
          <w:lang w:val="en-US" w:eastAsia="zh-CN" w:bidi="ar"/>
        </w:rPr>
        <w:t>我市聚焦经济社会发展和民生关切，持续拓展和深化主动公开的广度与深度，</w:t>
      </w:r>
      <w:r>
        <w:rPr>
          <w:rFonts w:hint="eastAsia" w:ascii="仿宋_GB2312" w:hAnsi="宋体" w:eastAsia="仿宋_GB2312" w:cs="仿宋_GB2312"/>
          <w:i w:val="0"/>
          <w:iCs w:val="0"/>
          <w:caps w:val="0"/>
          <w:color w:val="auto"/>
          <w:spacing w:val="0"/>
          <w:sz w:val="28"/>
          <w:szCs w:val="28"/>
          <w:shd w:val="clear" w:fill="FFFFFF"/>
          <w:lang w:val="en-US" w:eastAsia="zh-CN"/>
        </w:rPr>
        <w:t>聚焦经济发展、财政预决算、重大项目、民生保障、行政执法等核心领域，细化公开清单、全面公开相关信息。截至2025年12月31日，高安市政府门户网站公开发布信息共计</w:t>
      </w:r>
      <w:r>
        <w:rPr>
          <w:rFonts w:hint="eastAsia" w:ascii="仿宋_GB2312" w:hAnsi="宋体" w:eastAsia="仿宋_GB2312" w:cs="仿宋_GB2312"/>
          <w:i w:val="0"/>
          <w:iCs w:val="0"/>
          <w:caps w:val="0"/>
          <w:color w:val="000000" w:themeColor="text1"/>
          <w:spacing w:val="0"/>
          <w:sz w:val="28"/>
          <w:szCs w:val="28"/>
          <w:highlight w:val="none"/>
          <w:shd w:val="clear" w:fill="FFFFFF"/>
          <w:lang w:val="en-US" w:eastAsia="zh-CN"/>
          <w14:textFill>
            <w14:solidFill>
              <w14:schemeClr w14:val="tx1"/>
            </w14:solidFill>
          </w14:textFill>
        </w:rPr>
        <w:t>27633</w:t>
      </w:r>
      <w:r>
        <w:rPr>
          <w:rFonts w:hint="eastAsia" w:ascii="仿宋_GB2312" w:hAnsi="宋体" w:eastAsia="仿宋_GB2312" w:cs="仿宋_GB2312"/>
          <w:i w:val="0"/>
          <w:iCs w:val="0"/>
          <w:caps w:val="0"/>
          <w:color w:val="auto"/>
          <w:spacing w:val="0"/>
          <w:sz w:val="28"/>
          <w:szCs w:val="28"/>
          <w:highlight w:val="none"/>
          <w:shd w:val="clear" w:fill="FFFFFF"/>
          <w:lang w:val="en-US" w:eastAsia="zh-CN"/>
        </w:rPr>
        <w:t>条，“高安市政府网”微信公众号发布信息共计632条。</w:t>
      </w:r>
    </w:p>
    <w:p w14:paraId="5887BBC6">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eastAsia="zh-CN"/>
        </w:rPr>
      </w:pPr>
      <w:r>
        <w:rPr>
          <w:rFonts w:hint="eastAsia" w:ascii="楷体_GB2312" w:hAnsi="楷体_GB2312" w:eastAsia="楷体_GB2312" w:cs="楷体_GB2312"/>
          <w:b/>
          <w:bCs/>
          <w:i w:val="0"/>
          <w:caps w:val="0"/>
          <w:color w:val="auto"/>
          <w:spacing w:val="0"/>
          <w:sz w:val="28"/>
          <w:szCs w:val="28"/>
          <w:shd w:val="clear" w:fill="FFFFFF"/>
          <w:lang w:eastAsia="zh-CN"/>
        </w:rPr>
        <w:t>依申请公开</w:t>
      </w:r>
    </w:p>
    <w:p w14:paraId="449A3104">
      <w:pPr>
        <w:keepNext w:val="0"/>
        <w:keepLines w:val="0"/>
        <w:widowControl/>
        <w:suppressLineNumbers w:val="0"/>
        <w:ind w:firstLine="560" w:firstLineChars="200"/>
        <w:jc w:val="left"/>
        <w:rPr>
          <w:rFonts w:hint="eastAsia"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2025</w:t>
      </w:r>
      <w:r>
        <w:rPr>
          <w:rFonts w:hint="default" w:ascii="仿宋_GB2312" w:hAnsi="宋体" w:eastAsia="仿宋_GB2312" w:cs="仿宋_GB2312"/>
          <w:i w:val="0"/>
          <w:iCs w:val="0"/>
          <w:caps w:val="0"/>
          <w:color w:val="auto"/>
          <w:spacing w:val="0"/>
          <w:sz w:val="28"/>
          <w:szCs w:val="28"/>
          <w:highlight w:val="none"/>
          <w:shd w:val="clear" w:fill="FFFFFF"/>
          <w:lang w:val="en-US" w:eastAsia="zh-CN"/>
        </w:rPr>
        <w:t>年，共收到政府信息公开申请</w:t>
      </w:r>
      <w:r>
        <w:rPr>
          <w:rFonts w:hint="eastAsia" w:ascii="仿宋_GB2312" w:hAnsi="宋体" w:eastAsia="仿宋_GB2312" w:cs="仿宋_GB2312"/>
          <w:i w:val="0"/>
          <w:iCs w:val="0"/>
          <w:caps w:val="0"/>
          <w:color w:val="auto"/>
          <w:spacing w:val="0"/>
          <w:sz w:val="28"/>
          <w:szCs w:val="28"/>
          <w:highlight w:val="none"/>
          <w:shd w:val="clear" w:fill="FFFFFF"/>
          <w:lang w:val="en-US" w:eastAsia="zh-CN"/>
        </w:rPr>
        <w:t>68</w:t>
      </w:r>
      <w:r>
        <w:rPr>
          <w:rFonts w:hint="default" w:ascii="仿宋_GB2312" w:hAnsi="宋体" w:eastAsia="仿宋_GB2312" w:cs="仿宋_GB2312"/>
          <w:i w:val="0"/>
          <w:iCs w:val="0"/>
          <w:caps w:val="0"/>
          <w:color w:val="auto"/>
          <w:spacing w:val="0"/>
          <w:sz w:val="28"/>
          <w:szCs w:val="28"/>
          <w:highlight w:val="none"/>
          <w:shd w:val="clear" w:fill="FFFFFF"/>
          <w:lang w:val="en-US" w:eastAsia="zh-CN"/>
        </w:rPr>
        <w:t>件</w:t>
      </w:r>
      <w:r>
        <w:rPr>
          <w:rFonts w:hint="eastAsia" w:ascii="仿宋_GB2312" w:hAnsi="宋体" w:eastAsia="仿宋_GB2312" w:cs="仿宋_GB2312"/>
          <w:i w:val="0"/>
          <w:iCs w:val="0"/>
          <w:caps w:val="0"/>
          <w:color w:val="auto"/>
          <w:spacing w:val="0"/>
          <w:sz w:val="28"/>
          <w:szCs w:val="28"/>
          <w:highlight w:val="none"/>
          <w:shd w:val="clear" w:fill="FFFFFF"/>
          <w:lang w:val="en-US" w:eastAsia="zh-CN"/>
        </w:rPr>
        <w:t>。其中市政府办9件、政府部门57件、乡镇街道2件</w:t>
      </w:r>
      <w:r>
        <w:rPr>
          <w:rFonts w:hint="default" w:ascii="仿宋_GB2312" w:hAnsi="宋体" w:eastAsia="仿宋_GB2312" w:cs="仿宋_GB2312"/>
          <w:i w:val="0"/>
          <w:iCs w:val="0"/>
          <w:caps w:val="0"/>
          <w:color w:val="auto"/>
          <w:spacing w:val="0"/>
          <w:sz w:val="28"/>
          <w:szCs w:val="28"/>
          <w:highlight w:val="none"/>
          <w:shd w:val="clear" w:fill="FFFFFF"/>
          <w:lang w:val="en-US" w:eastAsia="zh-CN"/>
        </w:rPr>
        <w:t>。</w:t>
      </w:r>
      <w:r>
        <w:rPr>
          <w:rFonts w:hint="eastAsia" w:ascii="仿宋_GB2312" w:hAnsi="宋体" w:eastAsia="仿宋_GB2312" w:cs="仿宋_GB2312"/>
          <w:i w:val="0"/>
          <w:iCs w:val="0"/>
          <w:caps w:val="0"/>
          <w:color w:val="auto"/>
          <w:spacing w:val="0"/>
          <w:sz w:val="28"/>
          <w:szCs w:val="28"/>
          <w:highlight w:val="none"/>
          <w:shd w:val="clear" w:fill="FFFFFF"/>
          <w:lang w:val="en-US" w:eastAsia="zh-CN"/>
        </w:rPr>
        <w:t>全市共受理涉及</w:t>
      </w:r>
      <w:r>
        <w:rPr>
          <w:rFonts w:hint="default" w:ascii="仿宋_GB2312" w:hAnsi="宋体" w:eastAsia="仿宋_GB2312" w:cs="仿宋_GB2312"/>
          <w:i w:val="0"/>
          <w:iCs w:val="0"/>
          <w:caps w:val="0"/>
          <w:color w:val="auto"/>
          <w:spacing w:val="0"/>
          <w:sz w:val="28"/>
          <w:szCs w:val="28"/>
          <w:highlight w:val="none"/>
          <w:shd w:val="clear" w:fill="FFFFFF"/>
          <w:lang w:val="en-US" w:eastAsia="zh-CN"/>
        </w:rPr>
        <w:t>政府信息公开的行政复议</w:t>
      </w:r>
      <w:r>
        <w:rPr>
          <w:rFonts w:hint="eastAsia" w:ascii="仿宋_GB2312" w:hAnsi="宋体" w:eastAsia="仿宋_GB2312" w:cs="仿宋_GB2312"/>
          <w:i w:val="0"/>
          <w:iCs w:val="0"/>
          <w:caps w:val="0"/>
          <w:color w:val="auto"/>
          <w:spacing w:val="0"/>
          <w:sz w:val="28"/>
          <w:szCs w:val="28"/>
          <w:highlight w:val="none"/>
          <w:shd w:val="clear" w:fill="FFFFFF"/>
          <w:lang w:val="en-US" w:eastAsia="zh-CN"/>
        </w:rPr>
        <w:t>2</w:t>
      </w:r>
      <w:r>
        <w:rPr>
          <w:rFonts w:hint="default" w:ascii="仿宋_GB2312" w:hAnsi="宋体" w:eastAsia="仿宋_GB2312" w:cs="仿宋_GB2312"/>
          <w:i w:val="0"/>
          <w:iCs w:val="0"/>
          <w:caps w:val="0"/>
          <w:color w:val="auto"/>
          <w:spacing w:val="0"/>
          <w:sz w:val="28"/>
          <w:szCs w:val="28"/>
          <w:highlight w:val="none"/>
          <w:shd w:val="clear" w:fill="FFFFFF"/>
          <w:lang w:val="en-US" w:eastAsia="zh-CN"/>
        </w:rPr>
        <w:t>件</w:t>
      </w:r>
      <w:r>
        <w:rPr>
          <w:rFonts w:hint="eastAsia" w:ascii="仿宋_GB2312" w:hAnsi="宋体" w:eastAsia="仿宋_GB2312" w:cs="仿宋_GB2312"/>
          <w:i w:val="0"/>
          <w:iCs w:val="0"/>
          <w:caps w:val="0"/>
          <w:color w:val="auto"/>
          <w:spacing w:val="0"/>
          <w:sz w:val="28"/>
          <w:szCs w:val="28"/>
          <w:highlight w:val="none"/>
          <w:shd w:val="clear" w:fill="FFFFFF"/>
          <w:lang w:val="en-US" w:eastAsia="zh-CN"/>
        </w:rPr>
        <w:t>，</w:t>
      </w:r>
      <w:r>
        <w:rPr>
          <w:rFonts w:ascii="Arial" w:hAnsi="Arial" w:eastAsia="Arial" w:cs="Arial"/>
          <w:i w:val="0"/>
          <w:iCs w:val="0"/>
          <w:caps w:val="0"/>
          <w:color w:val="000000"/>
          <w:spacing w:val="0"/>
          <w:kern w:val="0"/>
          <w:sz w:val="28"/>
          <w:szCs w:val="28"/>
          <w:shd w:val="clear" w:fill="FFFFFF"/>
          <w:lang w:val="en-US" w:eastAsia="zh-CN" w:bidi="ar"/>
        </w:rPr>
        <w:t>没有因依申请公开引起行政诉讼的情况。</w:t>
      </w:r>
    </w:p>
    <w:p w14:paraId="0F715A7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val="en-US" w:eastAsia="zh-CN"/>
        </w:rPr>
      </w:pPr>
      <w:r>
        <w:rPr>
          <w:rFonts w:hint="eastAsia" w:ascii="楷体_GB2312" w:hAnsi="楷体_GB2312" w:eastAsia="楷体_GB2312" w:cs="楷体_GB2312"/>
          <w:b/>
          <w:bCs/>
          <w:i w:val="0"/>
          <w:caps w:val="0"/>
          <w:color w:val="auto"/>
          <w:spacing w:val="0"/>
          <w:sz w:val="28"/>
          <w:szCs w:val="28"/>
          <w:shd w:val="clear" w:fill="FFFFFF"/>
          <w:lang w:eastAsia="zh-CN"/>
        </w:rPr>
        <w:t>（</w:t>
      </w:r>
      <w:r>
        <w:rPr>
          <w:rFonts w:hint="eastAsia" w:ascii="楷体_GB2312" w:hAnsi="楷体_GB2312" w:eastAsia="楷体_GB2312" w:cs="楷体_GB2312"/>
          <w:b/>
          <w:bCs/>
          <w:i w:val="0"/>
          <w:caps w:val="0"/>
          <w:color w:val="auto"/>
          <w:spacing w:val="0"/>
          <w:sz w:val="28"/>
          <w:szCs w:val="28"/>
          <w:shd w:val="clear" w:fill="FFFFFF"/>
          <w:lang w:val="en-US" w:eastAsia="zh-CN"/>
        </w:rPr>
        <w:t>三</w:t>
      </w:r>
      <w:r>
        <w:rPr>
          <w:rFonts w:hint="eastAsia" w:ascii="楷体_GB2312" w:hAnsi="楷体_GB2312" w:eastAsia="楷体_GB2312" w:cs="楷体_GB2312"/>
          <w:b/>
          <w:bCs/>
          <w:i w:val="0"/>
          <w:caps w:val="0"/>
          <w:color w:val="auto"/>
          <w:spacing w:val="0"/>
          <w:sz w:val="28"/>
          <w:szCs w:val="28"/>
          <w:shd w:val="clear" w:fill="FFFFFF"/>
          <w:lang w:eastAsia="zh-CN"/>
        </w:rPr>
        <w:t>）政府信息管理</w:t>
      </w:r>
    </w:p>
    <w:p w14:paraId="23375AE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rightChars="0" w:firstLine="642"/>
        <w:jc w:val="both"/>
        <w:textAlignment w:val="baseline"/>
        <w:rPr>
          <w:rFonts w:hint="eastAsia" w:ascii="仿宋_GB2312" w:hAnsi="宋体" w:eastAsia="仿宋_GB2312" w:cs="仿宋_GB2312"/>
          <w:i w:val="0"/>
          <w:iCs w:val="0"/>
          <w:caps w:val="0"/>
          <w:color w:val="auto"/>
          <w:spacing w:val="0"/>
          <w:kern w:val="0"/>
          <w:sz w:val="30"/>
          <w:szCs w:val="30"/>
          <w:shd w:val="clear" w:fill="FFFFFF"/>
          <w:lang w:val="en-US" w:eastAsia="zh-CN" w:bidi="ar"/>
        </w:rPr>
      </w:pPr>
      <w:r>
        <w:rPr>
          <w:rFonts w:hint="eastAsia" w:ascii="仿宋_GB2312" w:hAnsi="宋体" w:eastAsia="仿宋_GB2312" w:cs="仿宋_GB2312"/>
          <w:i w:val="0"/>
          <w:iCs w:val="0"/>
          <w:caps w:val="0"/>
          <w:color w:val="auto"/>
          <w:spacing w:val="0"/>
          <w:kern w:val="0"/>
          <w:sz w:val="28"/>
          <w:szCs w:val="28"/>
          <w:shd w:val="clear" w:fill="FFFFFF"/>
          <w:lang w:val="en-US" w:eastAsia="zh-CN" w:bidi="ar"/>
        </w:rPr>
        <w:t>我市坚持源头管控、全程规范，严格落实“三审三校”制度，修订并完善了政务公开全流程工作制度体系。重新梳理整合主动公开事项目录，系统开展了我市政府网站历史数据清理工作，为精准公开奠定了坚实基础。持续推进全市行政规范性文件和重大行政决策的集中统一公开与动态更新机制，2025年，共制发行政规范性文件7件、重大行政决策2件，均按要求纳入规范管理并予以公开。</w:t>
      </w:r>
    </w:p>
    <w:p w14:paraId="57B413E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43" w:leftChars="0" w:right="0" w:rightChars="0"/>
        <w:jc w:val="left"/>
        <w:textAlignment w:val="baseline"/>
        <w:rPr>
          <w:rFonts w:hint="eastAsia" w:ascii="楷体" w:hAnsi="楷体" w:eastAsia="楷体" w:cs="楷体"/>
          <w:b/>
          <w:bCs/>
          <w:i w:val="0"/>
          <w:iCs w:val="0"/>
          <w:caps w:val="0"/>
          <w:color w:val="auto"/>
          <w:spacing w:val="0"/>
          <w:sz w:val="28"/>
          <w:szCs w:val="28"/>
          <w:u w:val="none"/>
          <w:shd w:val="clear" w:fill="FFFFFF"/>
          <w:vertAlign w:val="baseline"/>
          <w:lang w:val="en-US" w:eastAsia="zh-CN"/>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（四）政府信息公开平台建设</w:t>
      </w:r>
    </w:p>
    <w:p w14:paraId="2EF2E574">
      <w:pPr>
        <w:pageBreakBefore w:val="0"/>
        <w:kinsoku/>
        <w:wordWrap/>
        <w:overflowPunct/>
        <w:topLinePunct w:val="0"/>
        <w:autoSpaceDE/>
        <w:autoSpaceDN/>
        <w:bidi w:val="0"/>
        <w:adjustRightInd/>
        <w:snapToGrid/>
        <w:spacing w:line="560" w:lineRule="exact"/>
        <w:ind w:firstLine="562" w:firstLineChars="200"/>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shd w:val="clear" w:fill="FFFFFF"/>
          <w:vertAlign w:val="baseline"/>
          <w:lang w:val="en-US" w:eastAsia="zh-CN" w:bidi="ar"/>
        </w:rPr>
        <w:t>一是深化数字平台智能服务。</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对市政府门户网站进行功能升级，强化数据汇聚、智能检索功能，运用大数据和人工智能技术，打造了政府信息公开导航页和“安易答”AI智能问答数字人，极大提升了信息查找的便捷性和体验感。网站全年用户访问量突破43.6万人次，总访问量达155.7万次。</w:t>
      </w:r>
    </w:p>
    <w:p w14:paraId="2E100F21">
      <w:pPr>
        <w:pageBreakBefore w:val="0"/>
        <w:kinsoku/>
        <w:wordWrap/>
        <w:overflowPunct/>
        <w:topLinePunct w:val="0"/>
        <w:autoSpaceDE/>
        <w:autoSpaceDN/>
        <w:bidi w:val="0"/>
        <w:adjustRightInd/>
        <w:snapToGrid/>
        <w:spacing w:line="560" w:lineRule="exact"/>
        <w:ind w:firstLine="562" w:firstLineChars="200"/>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shd w:val="clear" w:fill="FFFFFF"/>
          <w:lang w:val="en-US" w:eastAsia="zh-CN" w:bidi="ar"/>
        </w:rPr>
        <w:t>二</w:t>
      </w:r>
      <w:r>
        <w:rPr>
          <w:rFonts w:hint="eastAsia" w:ascii="仿宋_GB2312" w:hAnsi="宋体" w:eastAsia="仿宋_GB2312" w:cs="仿宋_GB2312"/>
          <w:b/>
          <w:bCs/>
          <w:i w:val="0"/>
          <w:iCs w:val="0"/>
          <w:caps w:val="0"/>
          <w:color w:val="auto"/>
          <w:spacing w:val="0"/>
          <w:kern w:val="0"/>
          <w:sz w:val="28"/>
          <w:szCs w:val="28"/>
          <w:shd w:val="clear" w:fill="FFFFFF"/>
          <w:vertAlign w:val="baseline"/>
          <w:lang w:val="en-US" w:eastAsia="zh-CN" w:bidi="ar"/>
        </w:rPr>
        <w:t>是推动线下专区提质增效。</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线下渠道与线上平台同频共振，全市政务公开专区均提供信息查询、政策咨询、申请辅助等“一站式”服务。同时，紧密结合“固定开放月”等活动载体，全年共组织政策宣讲、现场答疑等活动58场，有效扩大了群众政策知晓面与参与度。</w:t>
      </w:r>
    </w:p>
    <w:p w14:paraId="3ACB0BE8">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43" w:leftChars="0" w:right="0" w:rightChars="0"/>
        <w:jc w:val="left"/>
        <w:textAlignment w:val="baseline"/>
        <w:rPr>
          <w:rFonts w:hint="eastAsia" w:ascii="楷体" w:hAnsi="楷体" w:eastAsia="楷体" w:cs="楷体"/>
          <w:b/>
          <w:bCs/>
          <w:i w:val="0"/>
          <w:iCs w:val="0"/>
          <w:caps w:val="0"/>
          <w:color w:val="auto"/>
          <w:spacing w:val="0"/>
          <w:sz w:val="28"/>
          <w:szCs w:val="28"/>
          <w:u w:val="none"/>
          <w:shd w:val="clear" w:fill="FFFFFF"/>
          <w:vertAlign w:val="baseline"/>
          <w:lang w:val="en-US" w:eastAsia="zh-CN"/>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监督保障</w:t>
      </w:r>
    </w:p>
    <w:p w14:paraId="57D7B5A2">
      <w:pPr>
        <w:keepNext w:val="0"/>
        <w:keepLines w:val="0"/>
        <w:widowControl/>
        <w:suppressLineNumbers w:val="0"/>
        <w:ind w:firstLine="562" w:firstLineChars="200"/>
        <w:jc w:val="left"/>
        <w:rPr>
          <w:rFonts w:hint="eastAsia" w:ascii="仿宋_GB2312" w:hAnsi="宋体" w:eastAsia="仿宋_GB2312" w:cs="仿宋_GB2312"/>
          <w:i w:val="0"/>
          <w:iCs w:val="0"/>
          <w:caps w:val="0"/>
          <w:color w:val="auto"/>
          <w:spacing w:val="0"/>
          <w:kern w:val="0"/>
          <w:sz w:val="28"/>
          <w:szCs w:val="28"/>
          <w:shd w:val="clear" w:fill="FFFFFF"/>
          <w:lang w:val="en-US" w:eastAsia="zh-CN" w:bidi="ar"/>
        </w:rPr>
      </w:pPr>
      <w:r>
        <w:rPr>
          <w:rFonts w:hint="eastAsia" w:ascii="仿宋_GB2312" w:hAnsi="宋体" w:eastAsia="仿宋_GB2312" w:cs="仿宋_GB2312"/>
          <w:b/>
          <w:bCs/>
          <w:i w:val="0"/>
          <w:iCs w:val="0"/>
          <w:caps w:val="0"/>
          <w:color w:val="auto"/>
          <w:spacing w:val="0"/>
          <w:kern w:val="0"/>
          <w:sz w:val="28"/>
          <w:szCs w:val="28"/>
          <w:shd w:val="clear" w:fill="FFFFFF"/>
          <w:lang w:val="en-US" w:eastAsia="zh-CN" w:bidi="ar"/>
        </w:rPr>
        <w:t>一是完善监督机制，压实工作责任。</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将政务公开工作落实情况纳入全市年度高质量发展综合绩效考核体系，设置量化评分指标，涵盖主动公开、平台建设、年报编制等核心内容。完善网民留言办理、舆情监测回应流程，做到快核查、快处置、快反馈，全年办理上级转办舆情 5件，回复网民给省市领导留言及建言3件，均按时规范答复</w:t>
      </w:r>
      <w:r>
        <w:rPr>
          <w:rFonts w:hint="default" w:ascii="仿宋_GB2312" w:hAnsi="宋体" w:eastAsia="仿宋_GB2312" w:cs="仿宋_GB2312"/>
          <w:i w:val="0"/>
          <w:iCs w:val="0"/>
          <w:caps w:val="0"/>
          <w:color w:val="auto"/>
          <w:spacing w:val="0"/>
          <w:kern w:val="0"/>
          <w:sz w:val="28"/>
          <w:szCs w:val="28"/>
          <w:shd w:val="clear" w:fill="FFFFFF"/>
          <w:vertAlign w:val="baseline"/>
          <w:lang w:val="en-US" w:eastAsia="zh-CN" w:bidi="ar"/>
        </w:rPr>
        <w:t>。</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严格执行责任追究制度，对未按规定履行公开义务、信息更新不及时、违规公开涉密信息等行为，依规依纪采取责令改正、通报批评等处置方式，强化制度刚性约束。</w:t>
      </w:r>
      <w:r>
        <w:rPr>
          <w:rFonts w:hint="eastAsia" w:ascii="仿宋_GB2312" w:hAnsi="宋体" w:eastAsia="仿宋_GB2312" w:cs="仿宋_GB2312"/>
          <w:b/>
          <w:bCs/>
          <w:i w:val="0"/>
          <w:iCs w:val="0"/>
          <w:caps w:val="0"/>
          <w:color w:val="auto"/>
          <w:spacing w:val="0"/>
          <w:kern w:val="0"/>
          <w:sz w:val="28"/>
          <w:szCs w:val="28"/>
          <w:shd w:val="clear" w:fill="FFFFFF"/>
          <w:vertAlign w:val="baseline"/>
          <w:lang w:val="en-US" w:eastAsia="zh-CN" w:bidi="ar"/>
        </w:rPr>
        <w:t>二是强化队伍建设，提升业务能力。</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为打造高素质的政务公开工作队伍，全年共组织各类专题培训2场，累计覆盖业务骨干110余人次。编制印发《政府信息公开工作手册》，明确各栏目发布内容、发布周期、信息来源与风险提示，有力促进了全市工作标准的统一与人员业务能力的整体提升。</w:t>
      </w:r>
    </w:p>
    <w:p w14:paraId="32A33F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560" w:firstLineChars="20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43837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FB581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第二十条第（一）项</w:t>
            </w:r>
          </w:p>
        </w:tc>
      </w:tr>
      <w:tr w14:paraId="464FD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1E57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F564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28FF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BA240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现行有效件数</w:t>
            </w:r>
          </w:p>
        </w:tc>
      </w:tr>
      <w:tr w14:paraId="74CCE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9408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87C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F1A9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0833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6DC1D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28EA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5120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b w:val="0"/>
                <w:bCs w:val="0"/>
                <w:i w:val="0"/>
                <w:iCs w:val="0"/>
                <w:color w:val="auto"/>
                <w:kern w:val="0"/>
                <w:sz w:val="32"/>
                <w:szCs w:val="32"/>
                <w:highlight w:val="none"/>
                <w:u w:val="none"/>
                <w:vertAlign w:val="baseline"/>
                <w:lang w:val="en-US" w:eastAsia="zh-CN" w:bidi="ar"/>
              </w:rPr>
            </w:pPr>
            <w:r>
              <w:rPr>
                <w:rFonts w:hint="eastAsia" w:ascii="仿宋_GB2312" w:eastAsia="仿宋_GB2312" w:cs="仿宋_GB2312"/>
                <w:b w:val="0"/>
                <w:bCs w:val="0"/>
                <w:i w:val="0"/>
                <w:iCs w:val="0"/>
                <w:color w:val="auto"/>
                <w:kern w:val="0"/>
                <w:sz w:val="32"/>
                <w:szCs w:val="32"/>
                <w:highlight w:val="none"/>
                <w:u w:val="none"/>
                <w:vertAlign w:val="baseline"/>
                <w:lang w:val="en-US" w:eastAsia="zh-CN" w:bidi="ar"/>
              </w:rPr>
              <w:t>18</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156E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b w:val="0"/>
                <w:bCs w:val="0"/>
                <w:i w:val="0"/>
                <w:iCs w:val="0"/>
                <w:color w:val="auto"/>
                <w:kern w:val="0"/>
                <w:sz w:val="32"/>
                <w:szCs w:val="32"/>
                <w:highlight w:val="none"/>
                <w:u w:val="none"/>
                <w:vertAlign w:val="baseline"/>
                <w:lang w:val="en-US" w:eastAsia="zh-CN" w:bidi="ar"/>
              </w:rPr>
            </w:pPr>
            <w:r>
              <w:rPr>
                <w:rFonts w:hint="eastAsia" w:ascii="仿宋_GB2312" w:eastAsia="仿宋_GB2312" w:cs="仿宋_GB2312"/>
                <w:b w:val="0"/>
                <w:bCs w:val="0"/>
                <w:i w:val="0"/>
                <w:iCs w:val="0"/>
                <w:color w:val="auto"/>
                <w:kern w:val="0"/>
                <w:sz w:val="32"/>
                <w:szCs w:val="32"/>
                <w:highlight w:val="none"/>
                <w:u w:val="none"/>
                <w:vertAlign w:val="baseline"/>
                <w:lang w:val="en-US" w:eastAsia="zh-CN" w:bidi="ar"/>
              </w:rPr>
              <w:t>14</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6A09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b w:val="0"/>
                <w:bCs w:val="0"/>
                <w:i w:val="0"/>
                <w:iCs w:val="0"/>
                <w:color w:val="auto"/>
                <w:kern w:val="0"/>
                <w:sz w:val="32"/>
                <w:szCs w:val="32"/>
                <w:highlight w:val="none"/>
                <w:u w:val="none"/>
                <w:vertAlign w:val="baseline"/>
                <w:lang w:val="en-US" w:eastAsia="zh-CN" w:bidi="ar"/>
              </w:rPr>
            </w:pPr>
            <w:r>
              <w:rPr>
                <w:rFonts w:hint="eastAsia" w:ascii="仿宋_GB2312" w:eastAsia="仿宋_GB2312" w:cs="仿宋_GB2312"/>
                <w:b w:val="0"/>
                <w:bCs w:val="0"/>
                <w:i w:val="0"/>
                <w:iCs w:val="0"/>
                <w:color w:val="auto"/>
                <w:kern w:val="0"/>
                <w:sz w:val="32"/>
                <w:szCs w:val="32"/>
                <w:highlight w:val="none"/>
                <w:u w:val="none"/>
                <w:vertAlign w:val="baseline"/>
                <w:lang w:val="en-US" w:eastAsia="zh-CN" w:bidi="ar"/>
              </w:rPr>
              <w:t>199</w:t>
            </w:r>
          </w:p>
        </w:tc>
      </w:tr>
      <w:tr w14:paraId="54F8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59FD5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第二十条第（五）项</w:t>
            </w:r>
          </w:p>
        </w:tc>
      </w:tr>
      <w:tr w14:paraId="1D95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60485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A258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1C177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3E10D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1D4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41506</w:t>
            </w:r>
          </w:p>
        </w:tc>
      </w:tr>
      <w:tr w14:paraId="3B88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03815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第二十条第（六）项</w:t>
            </w:r>
          </w:p>
        </w:tc>
      </w:tr>
      <w:tr w14:paraId="68F3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B668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C9FE0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28B7C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3AD0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3DC2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580390</w:t>
            </w:r>
          </w:p>
        </w:tc>
      </w:tr>
      <w:tr w14:paraId="4666D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60DE1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67EA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4639</w:t>
            </w:r>
          </w:p>
        </w:tc>
      </w:tr>
      <w:tr w14:paraId="61108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4A493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第二十条第（八）项</w:t>
            </w:r>
          </w:p>
        </w:tc>
      </w:tr>
      <w:tr w14:paraId="5A39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603E4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230646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本年收费金额（单位：万元）</w:t>
            </w:r>
          </w:p>
        </w:tc>
      </w:tr>
      <w:tr w14:paraId="074F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9692E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0A2066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eastAsia="仿宋_GB2312"/>
                <w:i w:val="0"/>
                <w:iCs w:val="0"/>
                <w:color w:val="auto"/>
                <w:u w:val="none"/>
                <w:lang w:val="en-US" w:eastAsia="zh-CN"/>
              </w:rPr>
            </w:pPr>
            <w:r>
              <w:rPr>
                <w:rFonts w:hint="eastAsia" w:ascii="仿宋_GB2312" w:eastAsia="仿宋_GB2312" w:cs="仿宋_GB2312"/>
                <w:b w:val="0"/>
                <w:bCs w:val="0"/>
                <w:i w:val="0"/>
                <w:iCs w:val="0"/>
                <w:color w:val="auto"/>
                <w:kern w:val="0"/>
                <w:sz w:val="32"/>
                <w:szCs w:val="32"/>
                <w:u w:val="none"/>
                <w:vertAlign w:val="baseline"/>
                <w:lang w:val="en-US" w:eastAsia="zh-CN" w:bidi="ar"/>
              </w:rPr>
              <w:t>902.54288</w:t>
            </w:r>
          </w:p>
        </w:tc>
      </w:tr>
    </w:tbl>
    <w:p w14:paraId="5F1927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textAlignment w:val="baseline"/>
        <w:rPr>
          <w:rFonts w:hint="eastAsia" w:ascii="宋体" w:hAnsi="宋体" w:eastAsia="宋体" w:cs="宋体"/>
          <w:i w:val="0"/>
          <w:iCs w:val="0"/>
          <w:caps w:val="0"/>
          <w:color w:val="auto"/>
          <w:spacing w:val="0"/>
          <w:sz w:val="18"/>
          <w:szCs w:val="18"/>
          <w:u w:val="none"/>
        </w:rPr>
      </w:pPr>
    </w:p>
    <w:p w14:paraId="2B49C6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0"/>
        <w:gridCol w:w="441"/>
        <w:gridCol w:w="472"/>
        <w:gridCol w:w="436"/>
        <w:gridCol w:w="495"/>
        <w:gridCol w:w="438"/>
        <w:gridCol w:w="450"/>
        <w:gridCol w:w="470"/>
      </w:tblGrid>
      <w:tr w14:paraId="411322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6"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top"/>
          </w:tcPr>
          <w:p w14:paraId="218FE5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（本列数据的勾稽关系为：第一项加第二项之和，等于第三项加第四项之和）</w:t>
            </w:r>
          </w:p>
        </w:tc>
        <w:tc>
          <w:tcPr>
            <w:tcW w:w="3202"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DE01E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申请人情况</w:t>
            </w:r>
          </w:p>
        </w:tc>
      </w:tr>
      <w:tr w14:paraId="4D521A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6"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6F75B2B2">
            <w:pPr>
              <w:rPr>
                <w:rFonts w:hint="eastAsia" w:ascii="宋体"/>
                <w:color w:val="auto"/>
                <w:sz w:val="24"/>
                <w:szCs w:val="24"/>
                <w:vertAlign w:val="baseline"/>
              </w:rPr>
            </w:pPr>
          </w:p>
        </w:tc>
        <w:tc>
          <w:tcPr>
            <w:tcW w:w="441" w:type="dxa"/>
            <w:vMerge w:val="restart"/>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top"/>
          </w:tcPr>
          <w:p w14:paraId="74F5BE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自</w:t>
            </w:r>
          </w:p>
          <w:p w14:paraId="2FE937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3E873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然</w:t>
            </w:r>
          </w:p>
          <w:p w14:paraId="0FD93B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1E7D9F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人</w:t>
            </w:r>
          </w:p>
        </w:tc>
        <w:tc>
          <w:tcPr>
            <w:tcW w:w="2291" w:type="dxa"/>
            <w:gridSpan w:val="5"/>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top"/>
          </w:tcPr>
          <w:p w14:paraId="42317F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法人或其他组织</w:t>
            </w:r>
          </w:p>
        </w:tc>
        <w:tc>
          <w:tcPr>
            <w:tcW w:w="470" w:type="dxa"/>
            <w:vMerge w:val="restart"/>
            <w:tcBorders>
              <w:top w:val="single" w:color="auto" w:sz="8"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top"/>
          </w:tcPr>
          <w:p w14:paraId="6ED31C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7B638A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6"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4BC9C0ED">
            <w:pPr>
              <w:rPr>
                <w:rFonts w:hint="eastAsia" w:ascii="宋体"/>
                <w:color w:val="auto"/>
                <w:sz w:val="24"/>
                <w:szCs w:val="24"/>
                <w:vertAlign w:val="baseline"/>
              </w:rPr>
            </w:pPr>
          </w:p>
        </w:tc>
        <w:tc>
          <w:tcPr>
            <w:tcW w:w="441" w:type="dxa"/>
            <w:vMerge w:val="continue"/>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top"/>
          </w:tcPr>
          <w:p w14:paraId="0A3E4461">
            <w:pPr>
              <w:rPr>
                <w:rFonts w:hint="eastAsia" w:ascii="宋体"/>
                <w:color w:val="auto"/>
                <w:sz w:val="24"/>
                <w:szCs w:val="24"/>
                <w:vertAlign w:val="baseline"/>
              </w:rPr>
            </w:pPr>
          </w:p>
        </w:tc>
        <w:tc>
          <w:tcPr>
            <w:tcW w:w="472"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1E68D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商业</w:t>
            </w:r>
          </w:p>
          <w:p w14:paraId="619A2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企业</w:t>
            </w:r>
          </w:p>
        </w:tc>
        <w:tc>
          <w:tcPr>
            <w:tcW w:w="436"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4EDB1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科研</w:t>
            </w:r>
          </w:p>
          <w:p w14:paraId="7CBAB1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机构</w:t>
            </w:r>
          </w:p>
        </w:tc>
        <w:tc>
          <w:tcPr>
            <w:tcW w:w="495"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3EC8B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社会公益组织</w:t>
            </w:r>
          </w:p>
        </w:tc>
        <w:tc>
          <w:tcPr>
            <w:tcW w:w="43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E9CF2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法律服务机构</w:t>
            </w:r>
          </w:p>
        </w:tc>
        <w:tc>
          <w:tcPr>
            <w:tcW w:w="45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A103A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p>
        </w:tc>
        <w:tc>
          <w:tcPr>
            <w:tcW w:w="470"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top"/>
          </w:tcPr>
          <w:p w14:paraId="17C8AF5B">
            <w:pPr>
              <w:rPr>
                <w:rFonts w:hint="eastAsia" w:ascii="宋体"/>
                <w:color w:val="auto"/>
                <w:sz w:val="24"/>
                <w:szCs w:val="24"/>
                <w:vertAlign w:val="baseline"/>
              </w:rPr>
            </w:pPr>
          </w:p>
        </w:tc>
      </w:tr>
      <w:tr w14:paraId="18983D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6"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ADD0E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一、本年新收政府信息公开申请数量</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40E4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65</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42C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562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D385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F858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2</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03333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99A3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68</w:t>
            </w:r>
          </w:p>
        </w:tc>
      </w:tr>
      <w:tr w14:paraId="04C0DE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6"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46842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二、上年结转政府信息公开申请数量</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78C0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2</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2B53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4942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C88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5AFF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8B24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F8C9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2</w:t>
            </w:r>
          </w:p>
        </w:tc>
      </w:tr>
      <w:tr w14:paraId="01FCD5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25D9B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三、本年度办理结果</w:t>
            </w:r>
          </w:p>
        </w:tc>
        <w:tc>
          <w:tcPr>
            <w:tcW w:w="5768"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A966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（一）予以公开</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6BA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35</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239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610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0F9B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07A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1</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5C5F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F03A0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37</w:t>
            </w:r>
          </w:p>
        </w:tc>
      </w:tr>
      <w:tr w14:paraId="6CACF4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B4E0515">
            <w:pPr>
              <w:rPr>
                <w:rFonts w:hint="eastAsia" w:ascii="宋体"/>
                <w:color w:val="auto"/>
                <w:sz w:val="24"/>
                <w:szCs w:val="24"/>
                <w:vertAlign w:val="baseline"/>
              </w:rPr>
            </w:pPr>
          </w:p>
        </w:tc>
        <w:tc>
          <w:tcPr>
            <w:tcW w:w="5768"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69628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（二）部分公开（区分处理的，只计这一情形，不计其他情形）</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BC4E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9</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5204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AFB9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FEC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EDFF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AC3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5B3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9</w:t>
            </w:r>
          </w:p>
        </w:tc>
      </w:tr>
      <w:tr w14:paraId="6E3707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69A7EE5">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AE25E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（三）不予公开</w:t>
            </w: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F94E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1.属于国家秘密</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4CCB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900D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D8F1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AEC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51402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DC34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DB9A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6813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9BF73B6">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C74A359">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27B7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2.其他法律行政法规禁止公开</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3ED8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3DE7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B75A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07A3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88E5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B20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CCA5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r>
      <w:tr w14:paraId="33BD4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5235005">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50C0322">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8B69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3.危及“三安全一稳定”</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1FD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A2A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1C69B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6971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D7A9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57B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EB6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C4146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63036CA">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45BE8E2">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EC4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4.保护第三方合法权益</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10F9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4</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4CFA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D917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F27C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48C0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4FDC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D05D2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4</w:t>
            </w:r>
          </w:p>
        </w:tc>
      </w:tr>
      <w:tr w14:paraId="5C188A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9A87A7D">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8A952BD">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A063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5.属于三类内部事务信息</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AC22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1</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BAF3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8F5C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D54D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EF50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68DE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BB57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r>
      <w:tr w14:paraId="1DB645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B42BAFD">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34345EA">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5F4E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6.属于四类过程性信息</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5B8A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7E29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1358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5AEA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6B43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5173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2856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8ABA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7FE57C8">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C13A7D8">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BCE4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7.属于行政执法案卷</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21E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E78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7ADE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E82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214A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F5FE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2BA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0</w:t>
            </w:r>
          </w:p>
        </w:tc>
      </w:tr>
      <w:tr w14:paraId="71FCBD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991FCD1">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71E68F4">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9321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8.属于行政查询事项</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68B7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205C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D2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0D0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A03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9FED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7BEF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0E31A4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C0D72E6">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547316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（四）无法提供</w:t>
            </w: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BC48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1.本机关不掌握相关政府信息</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2A6AB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15</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F260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2730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042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0A99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8147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62DE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16</w:t>
            </w:r>
          </w:p>
        </w:tc>
      </w:tr>
      <w:tr w14:paraId="013AF6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8"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364A787">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737FE8D">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9491E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2.没有现成信息需要另行制作</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09F7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7C49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74BF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FB62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FEEB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4F50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B929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0</w:t>
            </w:r>
          </w:p>
        </w:tc>
      </w:tr>
      <w:tr w14:paraId="5F3DC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8A8E2BA">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12DBEAC">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D068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3.补正后申请内容仍不明确</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18E1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25B7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38FF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DB0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546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8164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2971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5B0FE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97FA711">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28711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（五）不予处理</w:t>
            </w: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2E27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1.信访举报投诉类申请</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7F12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A409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8FD5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DC40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AA90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7750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9F3D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415A8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BA964DB">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9812BB5">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DB0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2.重复申请</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695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FBB9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22AC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6533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107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8AD0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8AB8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2D3D47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98C3A61">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29B01E1">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C114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3.要求提供公开出版物</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8A0D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C17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3271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5C82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7E28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69AC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1621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7E3F9C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8F36D0E">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6A0D1E5">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33E3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4.无正当理由大量反复申请</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032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E698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4630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14A4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38EB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259B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04E9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8D56E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7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A623773">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A650F24">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B957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5.要求行政机关确认或重新出具已获取信息</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6874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6D5A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D0AE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2853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ED9C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B593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B1CC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C6539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845"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5C6E5F2">
            <w:pPr>
              <w:rPr>
                <w:rFonts w:hint="eastAsia" w:ascii="宋体"/>
                <w:color w:val="auto"/>
                <w:sz w:val="24"/>
                <w:szCs w:val="24"/>
                <w:vertAlign w:val="baseline"/>
              </w:rPr>
            </w:pPr>
          </w:p>
        </w:tc>
        <w:tc>
          <w:tcPr>
            <w:tcW w:w="107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D55A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（六）其他处理</w:t>
            </w: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F442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1.申请人无正当理由逾期不补正、行政机关不再处理其政府信息公开申请</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712E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85DB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DA5D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AF24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5058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4351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86D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BD924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C9595B3">
            <w:pPr>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0FC35D">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43B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2.申请人逾期未按收费通知要求缴纳费用、行政机关不再处理其政府信息公开申请</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A79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B335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96D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2E6F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526A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4129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877D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r>
      <w:tr w14:paraId="1FF9AA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4A69FBA">
            <w:pPr>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A6D846">
            <w:pPr>
              <w:rPr>
                <w:rFonts w:hint="eastAsia" w:ascii="宋体"/>
                <w:color w:val="auto"/>
                <w:sz w:val="24"/>
                <w:szCs w:val="24"/>
                <w:vertAlign w:val="baseline"/>
              </w:rPr>
            </w:pPr>
          </w:p>
        </w:tc>
        <w:tc>
          <w:tcPr>
            <w:tcW w:w="469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1FC7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3.其他</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5C4E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C775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5C1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D9B5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2F50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6E24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AF7C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AA57A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BB67FCD">
            <w:pPr>
              <w:rPr>
                <w:rFonts w:hint="eastAsia" w:ascii="宋体"/>
                <w:color w:val="auto"/>
                <w:sz w:val="24"/>
                <w:szCs w:val="24"/>
                <w:vertAlign w:val="baseline"/>
              </w:rPr>
            </w:pPr>
          </w:p>
        </w:tc>
        <w:tc>
          <w:tcPr>
            <w:tcW w:w="5768"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937D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（七）总计</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2BF8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66</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AC68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DD55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37EC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FD49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2</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4318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DD1D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69</w:t>
            </w:r>
          </w:p>
        </w:tc>
      </w:tr>
      <w:tr w14:paraId="1387C4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6"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3496C3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四、结转下年度继续办理</w:t>
            </w:r>
          </w:p>
        </w:tc>
        <w:tc>
          <w:tcPr>
            <w:tcW w:w="4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485E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C280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6C2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3543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A226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011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CE83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ascii="仿宋_GB2312" w:eastAsia="仿宋_GB2312" w:cs="仿宋_GB2312" w:hAnsiTheme="minorHAnsi"/>
                <w:i w:val="0"/>
                <w:iCs w:val="0"/>
                <w:color w:val="auto"/>
                <w:kern w:val="0"/>
                <w:sz w:val="32"/>
                <w:szCs w:val="32"/>
                <w:u w:val="none"/>
                <w:vertAlign w:val="baseline"/>
                <w:lang w:val="en-US" w:eastAsia="zh-CN" w:bidi="ar"/>
              </w:rPr>
            </w:pPr>
            <w:r>
              <w:rPr>
                <w:rFonts w:hint="eastAsia" w:ascii="仿宋_GB2312" w:eastAsia="仿宋_GB2312" w:cs="仿宋_GB2312"/>
                <w:i w:val="0"/>
                <w:iCs w:val="0"/>
                <w:color w:val="auto"/>
                <w:kern w:val="0"/>
                <w:sz w:val="32"/>
                <w:szCs w:val="32"/>
                <w:u w:val="none"/>
                <w:vertAlign w:val="baseline"/>
                <w:lang w:val="en-US" w:eastAsia="zh-CN" w:bidi="ar"/>
              </w:rPr>
              <w:t>1</w:t>
            </w:r>
          </w:p>
        </w:tc>
      </w:tr>
    </w:tbl>
    <w:p w14:paraId="40680F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49812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B7ABC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44F46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行政诉讼</w:t>
            </w:r>
          </w:p>
        </w:tc>
      </w:tr>
      <w:tr w14:paraId="06243F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BA9CA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8B1DD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8616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72909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1E2636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1B16F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7B9FB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复议后起诉</w:t>
            </w:r>
          </w:p>
        </w:tc>
      </w:tr>
      <w:tr w14:paraId="1EC808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41E91AC">
            <w:pPr>
              <w:rPr>
                <w:rFonts w:hint="eastAsia" w:ascii="宋体"/>
                <w:color w:val="auto"/>
                <w:sz w:val="24"/>
                <w:szCs w:val="24"/>
                <w:vertAlign w:val="baseline"/>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6F9225">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BEA9AF9">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3C7478">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83E3862">
            <w:pPr>
              <w:rPr>
                <w:rFonts w:hint="eastAsia" w:ascii="宋体"/>
                <w:color w:val="auto"/>
                <w:sz w:val="24"/>
                <w:szCs w:val="24"/>
                <w:vertAlign w:val="baseline"/>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AC3D8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E99B3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73AB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D735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D1338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0DB52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7718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97C08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6053D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0A4B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028F36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76D9F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default" w:eastAsiaTheme="minorEastAsia"/>
                <w:i w:val="0"/>
                <w:iCs w:val="0"/>
                <w:color w:val="auto"/>
                <w:highlight w:val="none"/>
                <w:u w:val="none"/>
                <w:lang w:val="en-US" w:eastAsia="zh-CN"/>
              </w:rPr>
            </w:pPr>
            <w:r>
              <w:rPr>
                <w:rFonts w:hint="eastAsia" w:ascii="仿宋_GB2312" w:eastAsia="仿宋_GB2312" w:cs="仿宋_GB2312"/>
                <w:i w:val="0"/>
                <w:iCs w:val="0"/>
                <w:color w:val="auto"/>
                <w:kern w:val="0"/>
                <w:sz w:val="32"/>
                <w:szCs w:val="32"/>
                <w:highlight w:val="none"/>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F6D75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highlight w:val="none"/>
                <w:u w:val="none"/>
              </w:rPr>
            </w:pPr>
            <w:r>
              <w:rPr>
                <w:rFonts w:hint="eastAsia" w:ascii="仿宋_GB2312" w:eastAsia="仿宋_GB2312" w:cs="仿宋_GB2312"/>
                <w:i w:val="0"/>
                <w:iCs w:val="0"/>
                <w:color w:val="auto"/>
                <w:kern w:val="0"/>
                <w:sz w:val="32"/>
                <w:szCs w:val="32"/>
                <w:highlight w:val="none"/>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7D2B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highlight w:val="none"/>
                <w:u w:val="none"/>
              </w:rPr>
            </w:pPr>
            <w:r>
              <w:rPr>
                <w:rFonts w:hint="eastAsia" w:ascii="仿宋_GB2312" w:eastAsia="仿宋_GB2312" w:cs="仿宋_GB2312"/>
                <w:i w:val="0"/>
                <w:iCs w:val="0"/>
                <w:color w:val="auto"/>
                <w:kern w:val="0"/>
                <w:sz w:val="32"/>
                <w:szCs w:val="32"/>
                <w:highlight w:val="none"/>
                <w:u w:val="none"/>
                <w:vertAlign w:val="baseline"/>
                <w:lang w:val="en-US" w:eastAsia="zh-CN" w:bidi="ar"/>
              </w:rPr>
              <w:t>2</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BE326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highlight w:val="none"/>
                <w:u w:val="none"/>
              </w:rPr>
            </w:pPr>
            <w:r>
              <w:rPr>
                <w:rFonts w:hint="eastAsia" w:ascii="仿宋_GB2312" w:eastAsia="仿宋_GB2312" w:cs="仿宋_GB2312"/>
                <w:i w:val="0"/>
                <w:iCs w:val="0"/>
                <w:color w:val="auto"/>
                <w:kern w:val="0"/>
                <w:sz w:val="32"/>
                <w:szCs w:val="32"/>
                <w:highlight w:val="none"/>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25608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highlight w:val="none"/>
                <w:u w:val="none"/>
              </w:rPr>
            </w:pPr>
            <w:r>
              <w:rPr>
                <w:rFonts w:hint="eastAsia" w:ascii="仿宋_GB2312" w:eastAsia="仿宋_GB2312" w:cs="仿宋_GB2312"/>
                <w:i w:val="0"/>
                <w:iCs w:val="0"/>
                <w:color w:val="auto"/>
                <w:kern w:val="0"/>
                <w:sz w:val="32"/>
                <w:szCs w:val="32"/>
                <w:highlight w:val="none"/>
                <w:u w:val="none"/>
                <w:vertAlign w:val="baseline"/>
                <w:lang w:val="en-US" w:eastAsia="zh-CN" w:bidi="ar"/>
              </w:rPr>
              <w:t>2</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0C95F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0F98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38DF4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61D8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60B86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A17D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C13F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F604B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736B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444AD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textAlignment w:val="baseline"/>
              <w:rPr>
                <w:rFonts w:hint="default" w:eastAsiaTheme="minorEastAsia"/>
                <w:i w:val="0"/>
                <w:iCs w:val="0"/>
                <w:color w:val="auto"/>
                <w:u w:val="none"/>
                <w:lang w:val="en-US" w:eastAsia="zh-CN"/>
              </w:rPr>
            </w:pPr>
            <w:r>
              <w:rPr>
                <w:rFonts w:hint="eastAsia" w:ascii="仿宋_GB2312" w:eastAsia="仿宋_GB2312" w:cs="仿宋_GB2312"/>
                <w:i w:val="0"/>
                <w:iCs w:val="0"/>
                <w:color w:val="auto"/>
                <w:kern w:val="0"/>
                <w:sz w:val="32"/>
                <w:szCs w:val="32"/>
                <w:u w:val="none"/>
                <w:vertAlign w:val="baseline"/>
                <w:lang w:val="en-US" w:eastAsia="zh-CN" w:bidi="ar"/>
              </w:rPr>
              <w:t>0</w:t>
            </w:r>
          </w:p>
        </w:tc>
      </w:tr>
    </w:tbl>
    <w:p w14:paraId="386189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auto"/>
          <w:spacing w:val="0"/>
          <w:sz w:val="18"/>
          <w:szCs w:val="18"/>
          <w:u w:val="none"/>
        </w:rPr>
      </w:pPr>
      <w:r>
        <w:rPr>
          <w:rFonts w:ascii="Calibri" w:hAnsi="Calibri" w:eastAsia="宋体" w:cs="Calibri"/>
          <w:i w:val="0"/>
          <w:iCs w:val="0"/>
          <w:caps w:val="0"/>
          <w:color w:val="auto"/>
          <w:spacing w:val="0"/>
          <w:kern w:val="0"/>
          <w:sz w:val="21"/>
          <w:szCs w:val="21"/>
          <w:u w:val="none"/>
          <w:shd w:val="clear" w:fill="FFFFFF"/>
          <w:vertAlign w:val="baseline"/>
          <w:lang w:val="en-US" w:eastAsia="zh-CN" w:bidi="ar"/>
        </w:rPr>
        <w:t> </w:t>
      </w:r>
    </w:p>
    <w:p w14:paraId="091A637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五、存在的主要问题及改进情况</w:t>
      </w:r>
    </w:p>
    <w:p w14:paraId="42CE2B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（一）存在问题</w:t>
      </w:r>
    </w:p>
    <w:p w14:paraId="2A5CA99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一是政策解读的“传播力”和“实效性”有待加强，部分解读内容仍存在“重形式、轻效果”的问题，导致政策利好未能完全被企业和群众所感知、所运用。二是政务公开服务向基层延伸的“最后一公里”尚未完全畅通，公开渠道和资源在市本级部门体现的相对集中，乡镇（街道）、村（居）的公开平台建设较为薄弱，存在公开专栏不规范、信息更新不及时等问题。三是公众参与重大行政决策的深度与广度不足。虽然已建立基本的民意征集渠道，但参与流程的规范性及针对不同决策事项的差异化参与模式，仍有待进一步细化与夯实。</w:t>
      </w:r>
    </w:p>
    <w:p w14:paraId="102C9E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（二）下一步打算</w:t>
      </w:r>
    </w:p>
    <w:p w14:paraId="1645AF7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结合新时期政务公开工作的要求，我市将在新的一年重点推进以下三方面工作：</w:t>
      </w:r>
    </w:p>
    <w:p w14:paraId="16E60F8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一是深化政策解读机制，提升信息传达穿透力。</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实施“科长讲政策”系列活动，组织各政府部门关键业务科室负责人，通过线上直播、短视频录播、线下宣讲会等多种形式，聚焦年度重点政策和民生热点，开展精准解读与互动答疑，切实增强政策的到达率、理解度与执行力。</w:t>
      </w:r>
    </w:p>
    <w:p w14:paraId="6FC810E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二是推动公开重心下沉，打通基层服务最后一公里。</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深化基层政务公开“三化”建设，打造线上线下特色化的“政务公开查阅点”，定期组织驻点讲解，重点公开涉农补贴、乡村振兴、养老医疗等与基层群众切身利益密切相关的政府信息与服务指南，确保基层群众能就近、便捷地获取“看得懂、用得上”的政府信息，实现公开服务均等化。</w:t>
      </w:r>
    </w:p>
    <w:p w14:paraId="293E9ED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三是健全公众参与流程，构建透明开放决策模式。</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健全“公众参与常态化”制度保障体系。在涉及重大公共利益或民生问题的决策过程中，邀请利益相关方、专家学者、市民代表参与相关听证会、座谈会或民意调查。建立意见采纳情况集中反馈与公开机制，试点在特定领域邀请公众代表列席政府专题会议，推动公众参与从形式化向实质化、从环节化向全程化转变，提升政府决策公信力。</w:t>
      </w:r>
    </w:p>
    <w:p w14:paraId="1A4D60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  六、其他需要报告的事项</w:t>
      </w:r>
    </w:p>
    <w:p w14:paraId="17AF34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0"/>
        <w:jc w:val="both"/>
        <w:textAlignment w:val="baseline"/>
        <w:rPr>
          <w:rFonts w:hint="eastAsia" w:ascii="宋体" w:hAnsi="宋体" w:eastAsia="宋体" w:cs="宋体"/>
          <w:i w:val="0"/>
          <w:iCs w:val="0"/>
          <w:caps w:val="0"/>
          <w:color w:val="auto"/>
          <w:spacing w:val="0"/>
          <w:sz w:val="28"/>
          <w:szCs w:val="28"/>
          <w:u w:val="none"/>
        </w:rPr>
      </w:pPr>
      <w:r>
        <w:rPr>
          <w:rFonts w:hint="default"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    202</w:t>
      </w:r>
      <w:r>
        <w:rPr>
          <w:rFonts w:hint="eastAsia"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5</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年度，本机关无收取信息处理费情况。</w:t>
      </w:r>
    </w:p>
    <w:p w14:paraId="74ECB7FA">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C059">
    <w:panose1 w:val="00000500000000000000"/>
    <w:charset w:val="00"/>
    <w:family w:val="auto"/>
    <w:pitch w:val="default"/>
    <w:sig w:usb0="00000287" w:usb1="00000800" w:usb2="00000000" w:usb3="00000000" w:csb0="6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56C4B"/>
    <w:multiLevelType w:val="singleLevel"/>
    <w:tmpl w:val="B3F56C4B"/>
    <w:lvl w:ilvl="0" w:tentative="0">
      <w:start w:val="2"/>
      <w:numFmt w:val="chineseCounting"/>
      <w:suff w:val="nothing"/>
      <w:lvlText w:val="（%1）"/>
      <w:lvlJc w:val="left"/>
      <w:rPr>
        <w:rFonts w:hint="eastAsia"/>
      </w:rPr>
    </w:lvl>
  </w:abstractNum>
  <w:abstractNum w:abstractNumId="1">
    <w:nsid w:val="1FC4BA1F"/>
    <w:multiLevelType w:val="singleLevel"/>
    <w:tmpl w:val="1FC4BA1F"/>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00000000"/>
    <w:rsid w:val="006D6F3B"/>
    <w:rsid w:val="025263E9"/>
    <w:rsid w:val="028D5673"/>
    <w:rsid w:val="02A824AD"/>
    <w:rsid w:val="03525F75"/>
    <w:rsid w:val="03AB2112"/>
    <w:rsid w:val="03D270B5"/>
    <w:rsid w:val="03E5032C"/>
    <w:rsid w:val="04966335"/>
    <w:rsid w:val="04AB1EA0"/>
    <w:rsid w:val="04C609C8"/>
    <w:rsid w:val="04E807B8"/>
    <w:rsid w:val="05CD3FD8"/>
    <w:rsid w:val="05DE1D42"/>
    <w:rsid w:val="064406CB"/>
    <w:rsid w:val="0644429B"/>
    <w:rsid w:val="065B747D"/>
    <w:rsid w:val="06D25D4A"/>
    <w:rsid w:val="07F7358F"/>
    <w:rsid w:val="085E53BC"/>
    <w:rsid w:val="09AF4121"/>
    <w:rsid w:val="0ADB7197"/>
    <w:rsid w:val="0B3A5C6C"/>
    <w:rsid w:val="0B8B471A"/>
    <w:rsid w:val="0BFC1173"/>
    <w:rsid w:val="0C4D7C21"/>
    <w:rsid w:val="0C762CD4"/>
    <w:rsid w:val="0D054058"/>
    <w:rsid w:val="0DF26CD2"/>
    <w:rsid w:val="0E4868F2"/>
    <w:rsid w:val="0F3E0510"/>
    <w:rsid w:val="0F6D0A2C"/>
    <w:rsid w:val="0FC1070A"/>
    <w:rsid w:val="10345380"/>
    <w:rsid w:val="109776BD"/>
    <w:rsid w:val="111C55D1"/>
    <w:rsid w:val="118916FB"/>
    <w:rsid w:val="11D24E50"/>
    <w:rsid w:val="12137217"/>
    <w:rsid w:val="131E2317"/>
    <w:rsid w:val="13853312"/>
    <w:rsid w:val="138E4DA7"/>
    <w:rsid w:val="13D03611"/>
    <w:rsid w:val="14BC1DE8"/>
    <w:rsid w:val="14D7277E"/>
    <w:rsid w:val="14D902A4"/>
    <w:rsid w:val="15192D96"/>
    <w:rsid w:val="16144BA0"/>
    <w:rsid w:val="16726C02"/>
    <w:rsid w:val="16CA07EC"/>
    <w:rsid w:val="16FC4BC3"/>
    <w:rsid w:val="17996410"/>
    <w:rsid w:val="18B0756E"/>
    <w:rsid w:val="1951278B"/>
    <w:rsid w:val="1A5328A6"/>
    <w:rsid w:val="1A7647E7"/>
    <w:rsid w:val="1A9A04D5"/>
    <w:rsid w:val="1B171B26"/>
    <w:rsid w:val="1CF55E97"/>
    <w:rsid w:val="1D412E8A"/>
    <w:rsid w:val="1D752B34"/>
    <w:rsid w:val="1DCD0BC2"/>
    <w:rsid w:val="1E1059A6"/>
    <w:rsid w:val="201C373B"/>
    <w:rsid w:val="204F3B10"/>
    <w:rsid w:val="207215AC"/>
    <w:rsid w:val="217952E8"/>
    <w:rsid w:val="21CF3AB7"/>
    <w:rsid w:val="233B037C"/>
    <w:rsid w:val="23777CB6"/>
    <w:rsid w:val="23BA3996"/>
    <w:rsid w:val="23C71C0F"/>
    <w:rsid w:val="241F37F9"/>
    <w:rsid w:val="2536529E"/>
    <w:rsid w:val="25BD776E"/>
    <w:rsid w:val="260E7FC9"/>
    <w:rsid w:val="264D28A0"/>
    <w:rsid w:val="26591245"/>
    <w:rsid w:val="27165388"/>
    <w:rsid w:val="27765E26"/>
    <w:rsid w:val="2835183D"/>
    <w:rsid w:val="28575C58"/>
    <w:rsid w:val="28B07116"/>
    <w:rsid w:val="298C1931"/>
    <w:rsid w:val="2A377AEF"/>
    <w:rsid w:val="2A726D79"/>
    <w:rsid w:val="2A7C7CFB"/>
    <w:rsid w:val="2B2A31B0"/>
    <w:rsid w:val="2BA42EFC"/>
    <w:rsid w:val="2C864D5D"/>
    <w:rsid w:val="2C9E20A7"/>
    <w:rsid w:val="2CEA52EC"/>
    <w:rsid w:val="2E935510"/>
    <w:rsid w:val="2F25260C"/>
    <w:rsid w:val="2F57478F"/>
    <w:rsid w:val="2F666780"/>
    <w:rsid w:val="30744ECD"/>
    <w:rsid w:val="308E5F8F"/>
    <w:rsid w:val="31436D79"/>
    <w:rsid w:val="318B0720"/>
    <w:rsid w:val="32116E77"/>
    <w:rsid w:val="32B1065A"/>
    <w:rsid w:val="32B617CD"/>
    <w:rsid w:val="33896EE1"/>
    <w:rsid w:val="33A67A93"/>
    <w:rsid w:val="34394463"/>
    <w:rsid w:val="344F3C87"/>
    <w:rsid w:val="34D51919"/>
    <w:rsid w:val="34DF14AF"/>
    <w:rsid w:val="34E61698"/>
    <w:rsid w:val="352E479F"/>
    <w:rsid w:val="3616096A"/>
    <w:rsid w:val="36435A6D"/>
    <w:rsid w:val="36F31241"/>
    <w:rsid w:val="37677539"/>
    <w:rsid w:val="37A10C9D"/>
    <w:rsid w:val="38FD1F03"/>
    <w:rsid w:val="396E4BAF"/>
    <w:rsid w:val="39805ED7"/>
    <w:rsid w:val="39B527DE"/>
    <w:rsid w:val="39C1561D"/>
    <w:rsid w:val="39E6508D"/>
    <w:rsid w:val="3A1A0893"/>
    <w:rsid w:val="3A267238"/>
    <w:rsid w:val="3A3556CD"/>
    <w:rsid w:val="3B084B8F"/>
    <w:rsid w:val="3B497682"/>
    <w:rsid w:val="3BAF0A7B"/>
    <w:rsid w:val="3D0E0B83"/>
    <w:rsid w:val="3D6E0485"/>
    <w:rsid w:val="3EF21DDE"/>
    <w:rsid w:val="3F8D74B1"/>
    <w:rsid w:val="40175FA1"/>
    <w:rsid w:val="40307062"/>
    <w:rsid w:val="408B24EB"/>
    <w:rsid w:val="409311FD"/>
    <w:rsid w:val="4294443A"/>
    <w:rsid w:val="43432C09"/>
    <w:rsid w:val="44497F1B"/>
    <w:rsid w:val="44D83825"/>
    <w:rsid w:val="454F3AE7"/>
    <w:rsid w:val="47794E4B"/>
    <w:rsid w:val="481B23A6"/>
    <w:rsid w:val="48403BBB"/>
    <w:rsid w:val="495C4A24"/>
    <w:rsid w:val="49725FF6"/>
    <w:rsid w:val="4A3E05CE"/>
    <w:rsid w:val="4AAA5C63"/>
    <w:rsid w:val="4AF018C8"/>
    <w:rsid w:val="4F813436"/>
    <w:rsid w:val="4FA43FF1"/>
    <w:rsid w:val="51C23892"/>
    <w:rsid w:val="51FA75DE"/>
    <w:rsid w:val="51FB63D6"/>
    <w:rsid w:val="52911BE2"/>
    <w:rsid w:val="52D03D8D"/>
    <w:rsid w:val="53052687"/>
    <w:rsid w:val="53191BD8"/>
    <w:rsid w:val="53BF452D"/>
    <w:rsid w:val="53FA5565"/>
    <w:rsid w:val="54492049"/>
    <w:rsid w:val="547B50F3"/>
    <w:rsid w:val="55E51E81"/>
    <w:rsid w:val="56AD2D63"/>
    <w:rsid w:val="56B20379"/>
    <w:rsid w:val="56EF6ED8"/>
    <w:rsid w:val="570109B9"/>
    <w:rsid w:val="573963A5"/>
    <w:rsid w:val="580573A0"/>
    <w:rsid w:val="5818420C"/>
    <w:rsid w:val="58276B45"/>
    <w:rsid w:val="58FE1654"/>
    <w:rsid w:val="591A2206"/>
    <w:rsid w:val="5C4C0928"/>
    <w:rsid w:val="5D5F6439"/>
    <w:rsid w:val="5DD40BD5"/>
    <w:rsid w:val="5E3D49CC"/>
    <w:rsid w:val="5E8B6F2B"/>
    <w:rsid w:val="5EF157B7"/>
    <w:rsid w:val="5F7D7D31"/>
    <w:rsid w:val="5FD997C2"/>
    <w:rsid w:val="60457B68"/>
    <w:rsid w:val="610C68D8"/>
    <w:rsid w:val="6118527D"/>
    <w:rsid w:val="6166423A"/>
    <w:rsid w:val="6183303E"/>
    <w:rsid w:val="61AF3E33"/>
    <w:rsid w:val="626D15F8"/>
    <w:rsid w:val="63057A83"/>
    <w:rsid w:val="64032214"/>
    <w:rsid w:val="647A5AE9"/>
    <w:rsid w:val="64EA39F5"/>
    <w:rsid w:val="668D2269"/>
    <w:rsid w:val="669C24AC"/>
    <w:rsid w:val="68923B67"/>
    <w:rsid w:val="68AF296B"/>
    <w:rsid w:val="68E843B2"/>
    <w:rsid w:val="6905258B"/>
    <w:rsid w:val="695208D2"/>
    <w:rsid w:val="699D6C67"/>
    <w:rsid w:val="6A833F14"/>
    <w:rsid w:val="6B6C069F"/>
    <w:rsid w:val="6CF7668E"/>
    <w:rsid w:val="6D2C7EB5"/>
    <w:rsid w:val="6D610768"/>
    <w:rsid w:val="6D8A5754"/>
    <w:rsid w:val="6DF64B98"/>
    <w:rsid w:val="6E3D4575"/>
    <w:rsid w:val="6FEF6EB6"/>
    <w:rsid w:val="70C26FB3"/>
    <w:rsid w:val="72037883"/>
    <w:rsid w:val="7258372B"/>
    <w:rsid w:val="72D850F7"/>
    <w:rsid w:val="732D105C"/>
    <w:rsid w:val="733D0B73"/>
    <w:rsid w:val="736D3206"/>
    <w:rsid w:val="742C4E6F"/>
    <w:rsid w:val="7472484C"/>
    <w:rsid w:val="747F58E7"/>
    <w:rsid w:val="74BD1F6B"/>
    <w:rsid w:val="76157B85"/>
    <w:rsid w:val="765468FF"/>
    <w:rsid w:val="768A2321"/>
    <w:rsid w:val="769C3BDA"/>
    <w:rsid w:val="76B850E0"/>
    <w:rsid w:val="7762586D"/>
    <w:rsid w:val="777059BB"/>
    <w:rsid w:val="77894387"/>
    <w:rsid w:val="77FC724F"/>
    <w:rsid w:val="79450781"/>
    <w:rsid w:val="79C618C2"/>
    <w:rsid w:val="79F04B91"/>
    <w:rsid w:val="7A020420"/>
    <w:rsid w:val="7AA239C6"/>
    <w:rsid w:val="7AA240DD"/>
    <w:rsid w:val="7AD718AD"/>
    <w:rsid w:val="7B656EB9"/>
    <w:rsid w:val="7B8E6410"/>
    <w:rsid w:val="7B950D17"/>
    <w:rsid w:val="7BCE4A5E"/>
    <w:rsid w:val="7C09018C"/>
    <w:rsid w:val="7C845121"/>
    <w:rsid w:val="7DC9208E"/>
    <w:rsid w:val="7ED77236"/>
    <w:rsid w:val="7EE50301"/>
    <w:rsid w:val="7F0C421B"/>
    <w:rsid w:val="7FB0104A"/>
    <w:rsid w:val="8DFDB37A"/>
    <w:rsid w:val="AF8F0CB2"/>
    <w:rsid w:val="BBFF7B38"/>
    <w:rsid w:val="BDBB4FB3"/>
    <w:rsid w:val="BEFE05FF"/>
    <w:rsid w:val="D9FB3FA4"/>
    <w:rsid w:val="DFDB0244"/>
    <w:rsid w:val="EDEEEF4E"/>
    <w:rsid w:val="EFFB47CA"/>
    <w:rsid w:val="F477A652"/>
    <w:rsid w:val="F47FB794"/>
    <w:rsid w:val="F7DF0FF4"/>
    <w:rsid w:val="FF7EC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cs="Courier New"/>
      <w:szCs w:val="21"/>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customStyle="1" w:styleId="8">
    <w:name w:val="font61"/>
    <w:basedOn w:val="6"/>
    <w:autoRedefine/>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2373</Words>
  <Characters>2489</Characters>
  <Lines>0</Lines>
  <Paragraphs>0</Paragraphs>
  <TotalTime>66</TotalTime>
  <ScaleCrop>false</ScaleCrop>
  <LinksUpToDate>false</LinksUpToDate>
  <CharactersWithSpaces>2491</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2024-01-19T03:33:00Z</dcterms:created>
  <dc:creator>Administrator</dc:creator>
  <cp:lastModifiedBy>hw</cp:lastModifiedBy>
  <dcterms:modified xsi:type="dcterms:W3CDTF">2026-02-24T15:18:59Z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B71F99DCB59A9F9EE3509D69701E6D81_43</vt:lpwstr>
  </property>
  <property fmtid="{D5CDD505-2E9C-101B-9397-08002B2CF9AE}" pid="4" name="KSOTemplateDocerSaveRecord">
    <vt:lpwstr>eyJoZGlkIjoiNDRmMTEzM2QzMzY0OWFhMDA2MjE0ZGIzODJiMmJiZWIiLCJ1c2VySWQiOiIzMTU5NjM4MjMifQ==</vt:lpwstr>
  </property>
</Properties>
</file>