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32487E">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lang w:val="en-US" w:eastAsia="zh-CN"/>
        </w:rPr>
        <w:t>高安市市场监督管理局2024年</w:t>
      </w:r>
      <w:r>
        <w:rPr>
          <w:rFonts w:hint="eastAsia" w:ascii="方正小标宋简体" w:hAnsi="方正小标宋简体" w:eastAsia="方正小标宋简体" w:cs="Times New Roman"/>
          <w:sz w:val="40"/>
          <w:szCs w:val="40"/>
        </w:rPr>
        <w:t>政府信息公开工作年度报告</w:t>
      </w:r>
    </w:p>
    <w:p w14:paraId="2B83AD28">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p>
    <w:p w14:paraId="6A17F3CC">
      <w:pPr>
        <w:widowControl w:val="0"/>
        <w:spacing w:line="560" w:lineRule="exact"/>
        <w:ind w:firstLine="640"/>
        <w:rPr>
          <w:rFonts w:hint="eastAsia" w:ascii="黑体" w:hAnsi="黑体" w:eastAsia="黑体" w:cs="黑体"/>
          <w:kern w:val="2"/>
          <w:sz w:val="32"/>
          <w:szCs w:val="22"/>
          <w:lang w:eastAsia="zh-CN"/>
        </w:rPr>
      </w:pPr>
      <w:r>
        <w:rPr>
          <w:rFonts w:hint="eastAsia" w:ascii="仿宋_GB2312" w:hAnsi="仿宋_GB2312" w:eastAsia="仿宋_GB2312" w:cs="仿宋_GB2312"/>
          <w:kern w:val="2"/>
          <w:sz w:val="32"/>
          <w:szCs w:val="22"/>
          <w:lang w:val="en-US" w:eastAsia="zh-CN"/>
        </w:rPr>
        <w:t>本报告依据《中华人民共和国政府信息公开条例》（国务院令第711号）和《国务院办公厅政府信息与政务公开办公室关于中华人民共和国政府信息公开工作年度报告格式的通知》（国办公开办函〔2021〕30号）要求，由市场监管局结合有关统计数据编制。本年度报告中所列数据的统计期限自202</w:t>
      </w:r>
      <w:r>
        <w:rPr>
          <w:rFonts w:hint="eastAsia" w:ascii="仿宋_GB2312" w:hAnsi="仿宋_GB2312" w:cs="仿宋_GB2312"/>
          <w:kern w:val="2"/>
          <w:sz w:val="32"/>
          <w:szCs w:val="22"/>
          <w:lang w:val="en-US" w:eastAsia="zh-CN"/>
        </w:rPr>
        <w:t>4</w:t>
      </w:r>
      <w:r>
        <w:rPr>
          <w:rFonts w:hint="eastAsia" w:ascii="仿宋_GB2312" w:hAnsi="仿宋_GB2312" w:eastAsia="仿宋_GB2312" w:cs="仿宋_GB2312"/>
          <w:kern w:val="2"/>
          <w:sz w:val="32"/>
          <w:szCs w:val="22"/>
          <w:lang w:val="en-US" w:eastAsia="zh-CN"/>
        </w:rPr>
        <w:t>年1月1日起至2023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http://www.gaoan.gov.cn）下载。如对本报告有任何疑问，请与市场监管局联系（地址：高安市锦惠中路253号，电话：5282382，邮编：330800）。</w:t>
      </w:r>
    </w:p>
    <w:p w14:paraId="59FDC4C3">
      <w:pPr>
        <w:widowControl w:val="0"/>
        <w:spacing w:line="560" w:lineRule="exact"/>
        <w:ind w:firstLine="640"/>
        <w:rPr>
          <w:rFonts w:hint="eastAsia" w:ascii="黑体" w:hAnsi="黑体" w:eastAsia="黑体" w:cs="黑体"/>
          <w:kern w:val="2"/>
          <w:sz w:val="32"/>
          <w:szCs w:val="22"/>
          <w:lang w:eastAsia="zh-CN"/>
        </w:rPr>
      </w:pPr>
      <w:r>
        <w:rPr>
          <w:rFonts w:hint="eastAsia" w:ascii="黑体" w:hAnsi="黑体" w:eastAsia="黑体" w:cs="黑体"/>
          <w:kern w:val="2"/>
          <w:sz w:val="32"/>
          <w:szCs w:val="22"/>
          <w:lang w:eastAsia="zh-CN"/>
        </w:rPr>
        <w:t>一、总体情况</w:t>
      </w:r>
    </w:p>
    <w:p w14:paraId="43FF4AFA">
      <w:pPr>
        <w:widowControl w:val="0"/>
        <w:spacing w:line="560" w:lineRule="exact"/>
        <w:ind w:firstLine="640"/>
        <w:rPr>
          <w:rFonts w:hint="eastAsia" w:ascii="仿宋_GB2312" w:hAnsi="仿宋_GB2312" w:eastAsia="仿宋_GB2312" w:cs="仿宋_GB2312"/>
          <w:color w:val="000000"/>
          <w:sz w:val="32"/>
          <w:szCs w:val="32"/>
        </w:rPr>
      </w:pPr>
      <w:r>
        <w:rPr>
          <w:rFonts w:hint="eastAsia" w:ascii="仿宋_GB2312" w:hAnsi="仿宋_GB2312" w:cs="仿宋_GB2312"/>
          <w:kern w:val="2"/>
          <w:sz w:val="32"/>
          <w:szCs w:val="22"/>
          <w:lang w:eastAsia="zh-CN"/>
        </w:rPr>
        <w:t>2024</w:t>
      </w:r>
      <w:r>
        <w:rPr>
          <w:rFonts w:hint="eastAsia" w:ascii="仿宋_GB2312" w:hAnsi="仿宋_GB2312" w:eastAsia="仿宋_GB2312" w:cs="仿宋_GB2312"/>
          <w:kern w:val="2"/>
          <w:sz w:val="32"/>
          <w:szCs w:val="22"/>
        </w:rPr>
        <w:t>年，</w:t>
      </w:r>
      <w:r>
        <w:rPr>
          <w:rFonts w:hint="eastAsia" w:ascii="仿宋_GB2312" w:hAnsi="仿宋_GB2312" w:cs="仿宋_GB2312"/>
          <w:kern w:val="2"/>
          <w:sz w:val="32"/>
          <w:szCs w:val="22"/>
          <w:lang w:eastAsia="zh-CN"/>
        </w:rPr>
        <w:t>高安市</w:t>
      </w:r>
      <w:r>
        <w:rPr>
          <w:rFonts w:hint="eastAsia" w:ascii="仿宋_GB2312" w:hAnsi="仿宋_GB2312" w:eastAsia="仿宋_GB2312" w:cs="仿宋_GB2312"/>
          <w:kern w:val="2"/>
          <w:sz w:val="32"/>
          <w:szCs w:val="22"/>
        </w:rPr>
        <w:t>市场监督管理局坚持以习近平新时代中国特色社会主义思想为指导，深入贯彻落实党中央、国务院关于全面推进政务公开的决策部署，</w:t>
      </w:r>
      <w:r>
        <w:rPr>
          <w:rFonts w:hint="eastAsia" w:ascii="仿宋_GB2312" w:hAnsi="仿宋_GB2312" w:eastAsia="仿宋_GB2312" w:cs="仿宋_GB2312"/>
          <w:kern w:val="0"/>
          <w:sz w:val="32"/>
          <w:szCs w:val="32"/>
        </w:rPr>
        <w:t>紧扣</w:t>
      </w:r>
      <w:r>
        <w:rPr>
          <w:rFonts w:hint="eastAsia" w:ascii="仿宋_GB2312" w:hAnsi="仿宋_GB2312" w:cs="仿宋_GB2312"/>
          <w:kern w:val="0"/>
          <w:sz w:val="32"/>
          <w:szCs w:val="32"/>
          <w:lang w:eastAsia="zh-CN"/>
        </w:rPr>
        <w:t>2024</w:t>
      </w:r>
      <w:r>
        <w:rPr>
          <w:rFonts w:hint="eastAsia" w:ascii="仿宋_GB2312" w:hAnsi="仿宋_GB2312" w:eastAsia="仿宋_GB2312" w:cs="仿宋_GB2312"/>
          <w:kern w:val="0"/>
          <w:sz w:val="32"/>
          <w:szCs w:val="32"/>
        </w:rPr>
        <w:t>年</w:t>
      </w:r>
      <w:r>
        <w:rPr>
          <w:rFonts w:hint="eastAsia" w:ascii="仿宋_GB2312" w:hAnsi="仿宋_GB2312" w:cs="仿宋_GB2312"/>
          <w:kern w:val="0"/>
          <w:sz w:val="32"/>
          <w:szCs w:val="32"/>
          <w:lang w:eastAsia="zh-CN"/>
        </w:rPr>
        <w:t>高安市</w:t>
      </w:r>
      <w:r>
        <w:rPr>
          <w:rFonts w:hint="eastAsia" w:ascii="仿宋_GB2312" w:hAnsi="仿宋_GB2312" w:eastAsia="仿宋_GB2312" w:cs="仿宋_GB2312"/>
          <w:kern w:val="0"/>
          <w:sz w:val="32"/>
          <w:szCs w:val="32"/>
        </w:rPr>
        <w:t>政务公开工作要点，</w:t>
      </w:r>
      <w:r>
        <w:rPr>
          <w:rFonts w:hint="eastAsia" w:ascii="仿宋_GB2312" w:hAnsi="仿宋_GB2312" w:eastAsia="仿宋_GB2312" w:cs="仿宋_GB2312"/>
          <w:sz w:val="32"/>
          <w:szCs w:val="32"/>
        </w:rPr>
        <w:t>按照</w:t>
      </w:r>
      <w:r>
        <w:rPr>
          <w:rFonts w:hint="eastAsia" w:ascii="仿宋_GB2312" w:hAnsi="仿宋_GB2312" w:eastAsia="仿宋_GB2312" w:cs="仿宋_GB2312"/>
          <w:color w:val="000000"/>
          <w:sz w:val="32"/>
          <w:szCs w:val="32"/>
        </w:rPr>
        <w:t>“以公开为常态，不公开为例外”原则，</w:t>
      </w:r>
      <w:r>
        <w:rPr>
          <w:rFonts w:hint="eastAsia" w:ascii="仿宋_GB2312" w:hAnsi="仿宋_GB2312" w:eastAsia="仿宋_GB2312" w:cs="仿宋_GB2312"/>
          <w:kern w:val="2"/>
          <w:sz w:val="32"/>
          <w:szCs w:val="22"/>
        </w:rPr>
        <w:t>持续加大重点领域信息公开力度，</w:t>
      </w:r>
      <w:r>
        <w:rPr>
          <w:rFonts w:hint="eastAsia" w:ascii="仿宋_GB2312" w:hAnsi="仿宋_GB2312" w:eastAsia="仿宋_GB2312" w:cs="仿宋_GB2312"/>
          <w:kern w:val="0"/>
          <w:sz w:val="32"/>
          <w:szCs w:val="32"/>
        </w:rPr>
        <w:t>着力提升政务公开质量，</w:t>
      </w:r>
      <w:r>
        <w:rPr>
          <w:rFonts w:hint="eastAsia" w:ascii="仿宋_GB2312" w:hAnsi="仿宋_GB2312" w:eastAsia="仿宋_GB2312" w:cs="仿宋_GB2312"/>
          <w:kern w:val="2"/>
          <w:sz w:val="32"/>
          <w:szCs w:val="22"/>
        </w:rPr>
        <w:t>积极畅通公众参与渠道，主动回应社会关切，政府信息公开实效不断</w:t>
      </w:r>
      <w:r>
        <w:rPr>
          <w:rFonts w:hint="eastAsia" w:ascii="仿宋_GB2312" w:hAnsi="仿宋_GB2312" w:eastAsia="仿宋_GB2312" w:cs="仿宋_GB2312"/>
          <w:color w:val="000000"/>
          <w:sz w:val="32"/>
          <w:szCs w:val="32"/>
        </w:rPr>
        <w:t>提升。</w:t>
      </w:r>
    </w:p>
    <w:p w14:paraId="5922E34E">
      <w:pPr>
        <w:widowControl w:val="0"/>
        <w:spacing w:line="560" w:lineRule="exact"/>
        <w:ind w:firstLine="640"/>
        <w:rPr>
          <w:rFonts w:hint="eastAsia" w:ascii="楷体_GB2312" w:hAnsi="楷体_GB2312" w:eastAsia="楷体_GB2312" w:cs="楷体_GB2312"/>
          <w:color w:val="000000"/>
          <w:sz w:val="32"/>
          <w:szCs w:val="32"/>
          <w:lang w:val="en-US" w:eastAsia="zh-CN"/>
        </w:rPr>
      </w:pPr>
      <w:r>
        <w:rPr>
          <w:rFonts w:hint="eastAsia" w:ascii="楷体_GB2312" w:hAnsi="楷体_GB2312" w:eastAsia="楷体_GB2312" w:cs="楷体_GB2312"/>
          <w:color w:val="000000"/>
          <w:sz w:val="32"/>
          <w:szCs w:val="32"/>
          <w:lang w:val="en-US" w:eastAsia="zh-CN"/>
        </w:rPr>
        <w:t>（一）主动公开</w:t>
      </w:r>
    </w:p>
    <w:p w14:paraId="7F85D5E0">
      <w:pPr>
        <w:widowControl w:val="0"/>
        <w:spacing w:line="560" w:lineRule="exact"/>
        <w:ind w:firstLine="640"/>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lang w:val="en-US" w:eastAsia="zh-CN"/>
        </w:rPr>
        <w:t>2024年，市市场监督管理局严格执行信息日常发布机制，全年通过高安政务网政府信息公开专栏累计向社会主动发布各类信</w:t>
      </w:r>
      <w:r>
        <w:rPr>
          <w:rFonts w:hint="eastAsia" w:ascii="仿宋_GB2312" w:hAnsi="仿宋_GB2312" w:eastAsia="仿宋_GB2312" w:cs="仿宋_GB2312"/>
          <w:color w:val="000000"/>
          <w:sz w:val="32"/>
          <w:szCs w:val="32"/>
          <w:highlight w:val="none"/>
          <w:lang w:val="en-US" w:eastAsia="zh-CN"/>
        </w:rPr>
        <w:t>息</w:t>
      </w:r>
      <w:r>
        <w:rPr>
          <w:rFonts w:hint="eastAsia" w:ascii="仿宋_GB2312" w:hAnsi="仿宋_GB2312" w:cs="仿宋_GB2312"/>
          <w:color w:val="000000"/>
          <w:sz w:val="32"/>
          <w:szCs w:val="32"/>
          <w:highlight w:val="none"/>
          <w:lang w:val="en-US" w:eastAsia="zh-CN"/>
        </w:rPr>
        <w:t>224条。</w:t>
      </w:r>
      <w:r>
        <w:rPr>
          <w:rFonts w:hint="eastAsia" w:ascii="仿宋_GB2312" w:hAnsi="仿宋_GB2312" w:eastAsia="仿宋_GB2312" w:cs="仿宋_GB2312"/>
          <w:color w:val="000000"/>
          <w:sz w:val="32"/>
          <w:szCs w:val="32"/>
          <w:highlight w:val="none"/>
          <w:lang w:val="en-US" w:eastAsia="zh-CN"/>
        </w:rPr>
        <w:t>其中，通过局官方网站公开政府信息</w:t>
      </w:r>
      <w:r>
        <w:rPr>
          <w:rFonts w:hint="eastAsia" w:ascii="仿宋_GB2312" w:hAnsi="仿宋_GB2312" w:cs="仿宋_GB2312"/>
          <w:color w:val="000000"/>
          <w:sz w:val="32"/>
          <w:szCs w:val="32"/>
          <w:highlight w:val="none"/>
          <w:lang w:val="en-US" w:eastAsia="zh-CN"/>
        </w:rPr>
        <w:t>154条，</w:t>
      </w:r>
      <w:r>
        <w:rPr>
          <w:rFonts w:hint="eastAsia" w:ascii="仿宋_GB2312" w:hAnsi="仿宋_GB2312" w:eastAsia="仿宋_GB2312" w:cs="仿宋_GB2312"/>
          <w:color w:val="000000"/>
          <w:sz w:val="32"/>
          <w:szCs w:val="32"/>
          <w:highlight w:val="none"/>
          <w:lang w:val="en-US" w:eastAsia="zh-CN"/>
        </w:rPr>
        <w:t>涵盖</w:t>
      </w:r>
      <w:r>
        <w:rPr>
          <w:rFonts w:hint="eastAsia" w:ascii="仿宋_GB2312" w:hAnsi="仿宋_GB2312" w:cs="仿宋_GB2312"/>
          <w:color w:val="000000"/>
          <w:sz w:val="32"/>
          <w:szCs w:val="32"/>
          <w:highlight w:val="none"/>
          <w:lang w:val="en-US" w:eastAsia="zh-CN"/>
        </w:rPr>
        <w:t>市场监管规则和标准</w:t>
      </w:r>
      <w:r>
        <w:rPr>
          <w:rFonts w:hint="eastAsia" w:ascii="仿宋_GB2312" w:hAnsi="仿宋_GB2312" w:eastAsia="仿宋_GB2312" w:cs="仿宋_GB2312"/>
          <w:color w:val="000000"/>
          <w:sz w:val="32"/>
          <w:szCs w:val="32"/>
          <w:highlight w:val="none"/>
          <w:lang w:val="en-US" w:eastAsia="zh-CN"/>
        </w:rPr>
        <w:t>、工作规划、工作总结、工作动态、政策解读等多类信息</w:t>
      </w:r>
      <w:r>
        <w:rPr>
          <w:rFonts w:hint="eastAsia" w:ascii="仿宋_GB2312" w:hAnsi="仿宋_GB2312" w:cs="仿宋_GB2312"/>
          <w:color w:val="000000"/>
          <w:sz w:val="32"/>
          <w:szCs w:val="32"/>
          <w:highlight w:val="none"/>
          <w:lang w:val="en-US" w:eastAsia="zh-CN"/>
        </w:rPr>
        <w:t>；</w:t>
      </w:r>
      <w:r>
        <w:rPr>
          <w:rFonts w:hint="eastAsia" w:ascii="仿宋_GB2312" w:hAnsi="仿宋_GB2312" w:eastAsia="仿宋_GB2312" w:cs="仿宋_GB2312"/>
          <w:i w:val="0"/>
          <w:caps w:val="0"/>
          <w:color w:val="000000"/>
          <w:spacing w:val="0"/>
          <w:kern w:val="0"/>
          <w:sz w:val="32"/>
          <w:szCs w:val="32"/>
          <w:lang w:val="en-US" w:eastAsia="zh-CN" w:bidi="ar"/>
        </w:rPr>
        <w:t>通过其他方式公开政府信息</w:t>
      </w:r>
      <w:r>
        <w:rPr>
          <w:rFonts w:hint="eastAsia" w:ascii="仿宋_GB2312" w:hAnsi="仿宋_GB2312" w:cs="仿宋_GB2312"/>
          <w:i w:val="0"/>
          <w:caps w:val="0"/>
          <w:color w:val="000000"/>
          <w:spacing w:val="0"/>
          <w:kern w:val="0"/>
          <w:sz w:val="32"/>
          <w:szCs w:val="32"/>
          <w:lang w:val="en-US" w:eastAsia="zh-CN" w:bidi="ar"/>
        </w:rPr>
        <w:t>70</w:t>
      </w:r>
      <w:r>
        <w:rPr>
          <w:rFonts w:hint="eastAsia" w:ascii="仿宋_GB2312" w:hAnsi="仿宋_GB2312" w:eastAsia="仿宋_GB2312" w:cs="仿宋_GB2312"/>
          <w:i w:val="0"/>
          <w:caps w:val="0"/>
          <w:color w:val="000000"/>
          <w:spacing w:val="0"/>
          <w:kern w:val="0"/>
          <w:sz w:val="32"/>
          <w:szCs w:val="32"/>
          <w:lang w:val="en-US" w:eastAsia="zh-CN" w:bidi="ar"/>
        </w:rPr>
        <w:t>条。</w:t>
      </w:r>
      <w:r>
        <w:rPr>
          <w:rFonts w:hint="eastAsia" w:ascii="仿宋_GB2312" w:hAnsi="仿宋_GB2312" w:eastAsia="仿宋_GB2312" w:cs="仿宋_GB2312"/>
          <w:color w:val="000000"/>
          <w:sz w:val="32"/>
          <w:szCs w:val="32"/>
          <w:highlight w:val="none"/>
          <w:lang w:val="en-US" w:eastAsia="zh-CN"/>
        </w:rPr>
        <w:t>积极</w:t>
      </w:r>
      <w:r>
        <w:rPr>
          <w:rFonts w:hint="eastAsia" w:ascii="仿宋_GB2312" w:hAnsi="仿宋_GB2312" w:cs="仿宋_GB2312"/>
          <w:color w:val="000000"/>
          <w:sz w:val="32"/>
          <w:szCs w:val="32"/>
          <w:highlight w:val="none"/>
          <w:lang w:val="en-US" w:eastAsia="zh-CN"/>
        </w:rPr>
        <w:t>组织政府公开日活动</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sz w:val="32"/>
          <w:szCs w:val="32"/>
        </w:rPr>
        <w:t>让市民代表们对市场监管部门消费维权工作有了更加全面深入的</w:t>
      </w:r>
      <w:r>
        <w:rPr>
          <w:rFonts w:hint="eastAsia" w:ascii="仿宋_GB2312" w:hAnsi="仿宋_GB2312" w:cs="仿宋_GB2312"/>
          <w:sz w:val="32"/>
          <w:szCs w:val="32"/>
          <w:lang w:eastAsia="zh-CN"/>
        </w:rPr>
        <w:t>了解。</w:t>
      </w:r>
      <w:r>
        <w:rPr>
          <w:rFonts w:hint="eastAsia" w:ascii="仿宋_GB2312" w:hAnsi="仿宋_GB2312" w:eastAsia="仿宋_GB2312" w:cs="仿宋_GB2312"/>
          <w:color w:val="000000"/>
          <w:sz w:val="32"/>
          <w:szCs w:val="32"/>
          <w:highlight w:val="none"/>
          <w:lang w:val="en-US" w:eastAsia="zh-CN"/>
        </w:rPr>
        <w:t>主动接受人大代表和政协委员对市场监管工作的监督，全年办理人大建议</w:t>
      </w:r>
      <w:r>
        <w:rPr>
          <w:rFonts w:hint="eastAsia" w:ascii="仿宋_GB2312" w:hAnsi="仿宋_GB2312" w:cs="仿宋_GB2312"/>
          <w:color w:val="000000"/>
          <w:sz w:val="32"/>
          <w:szCs w:val="32"/>
          <w:highlight w:val="none"/>
          <w:lang w:val="en-US" w:eastAsia="zh-CN"/>
        </w:rPr>
        <w:t>1件、</w:t>
      </w:r>
      <w:r>
        <w:rPr>
          <w:rFonts w:hint="eastAsia" w:ascii="仿宋_GB2312" w:hAnsi="仿宋_GB2312" w:eastAsia="仿宋_GB2312" w:cs="仿宋_GB2312"/>
          <w:color w:val="000000"/>
          <w:sz w:val="32"/>
          <w:szCs w:val="32"/>
          <w:highlight w:val="none"/>
          <w:lang w:val="en-US" w:eastAsia="zh-CN"/>
        </w:rPr>
        <w:t>政协提案</w:t>
      </w:r>
      <w:r>
        <w:rPr>
          <w:rFonts w:hint="eastAsia" w:ascii="仿宋_GB2312" w:hAnsi="仿宋_GB2312" w:cs="仿宋_GB2312"/>
          <w:color w:val="000000"/>
          <w:sz w:val="32"/>
          <w:szCs w:val="32"/>
          <w:highlight w:val="none"/>
          <w:lang w:val="en-US" w:eastAsia="zh-CN"/>
        </w:rPr>
        <w:t>3</w:t>
      </w:r>
      <w:r>
        <w:rPr>
          <w:rFonts w:hint="eastAsia" w:ascii="仿宋_GB2312" w:hAnsi="仿宋_GB2312" w:eastAsia="仿宋_GB2312" w:cs="仿宋_GB2312"/>
          <w:color w:val="000000"/>
          <w:sz w:val="32"/>
          <w:szCs w:val="32"/>
          <w:highlight w:val="none"/>
          <w:lang w:val="en-US" w:eastAsia="zh-CN"/>
        </w:rPr>
        <w:t>件</w:t>
      </w:r>
      <w:r>
        <w:rPr>
          <w:rFonts w:hint="eastAsia" w:ascii="仿宋_GB2312" w:hAnsi="仿宋_GB2312" w:cs="仿宋_GB2312"/>
          <w:color w:val="000000"/>
          <w:sz w:val="32"/>
          <w:szCs w:val="32"/>
          <w:highlight w:val="none"/>
          <w:lang w:val="en-US" w:eastAsia="zh-CN"/>
        </w:rPr>
        <w:t>。</w:t>
      </w:r>
    </w:p>
    <w:p w14:paraId="6D4AC9E1">
      <w:pPr>
        <w:widowControl w:val="0"/>
        <w:spacing w:line="560" w:lineRule="exact"/>
        <w:ind w:firstLine="640"/>
        <w:rPr>
          <w:rFonts w:hint="eastAsia" w:ascii="楷体_GB2312" w:hAnsi="楷体_GB2312" w:eastAsia="楷体_GB2312" w:cs="楷体_GB2312"/>
          <w:color w:val="000000"/>
          <w:sz w:val="32"/>
          <w:szCs w:val="32"/>
          <w:lang w:val="en-US" w:eastAsia="zh-CN"/>
        </w:rPr>
      </w:pPr>
      <w:r>
        <w:rPr>
          <w:rFonts w:hint="eastAsia" w:ascii="楷体_GB2312" w:hAnsi="楷体_GB2312" w:eastAsia="楷体_GB2312" w:cs="楷体_GB2312"/>
          <w:color w:val="000000"/>
          <w:sz w:val="32"/>
          <w:szCs w:val="32"/>
          <w:lang w:val="en-US" w:eastAsia="zh-CN"/>
        </w:rPr>
        <w:t>（二）依申请公开</w:t>
      </w:r>
    </w:p>
    <w:p w14:paraId="3F31B3AF">
      <w:pPr>
        <w:widowControl w:val="0"/>
        <w:spacing w:line="560" w:lineRule="exact"/>
        <w:ind w:firstLine="64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2024年，进一步修订完善《高安市市场监督管理局政府信息公开指南》，对依申请公开信息获取方式和途径等进一步明确，确保渠道畅通。全年共收到政府信息公开申请17件，其中，</w:t>
      </w:r>
      <w:r>
        <w:rPr>
          <w:rFonts w:hint="eastAsia" w:ascii="仿宋_GB2312" w:hAnsi="仿宋_GB2312" w:cs="仿宋_GB2312"/>
          <w:color w:val="000000"/>
          <w:sz w:val="32"/>
          <w:szCs w:val="32"/>
          <w:lang w:val="en-US" w:eastAsia="zh-CN"/>
        </w:rPr>
        <w:t>在线</w:t>
      </w:r>
      <w:r>
        <w:rPr>
          <w:rFonts w:hint="eastAsia" w:ascii="仿宋_GB2312" w:hAnsi="仿宋_GB2312" w:eastAsia="仿宋_GB2312" w:cs="仿宋_GB2312"/>
          <w:color w:val="000000"/>
          <w:sz w:val="32"/>
          <w:szCs w:val="32"/>
          <w:lang w:val="en-US" w:eastAsia="zh-CN"/>
        </w:rPr>
        <w:t>申请</w:t>
      </w:r>
      <w:r>
        <w:rPr>
          <w:rFonts w:hint="eastAsia" w:ascii="仿宋_GB2312" w:hAnsi="仿宋_GB2312" w:cs="仿宋_GB2312"/>
          <w:color w:val="000000"/>
          <w:sz w:val="32"/>
          <w:szCs w:val="32"/>
          <w:lang w:val="en-US" w:eastAsia="zh-CN"/>
        </w:rPr>
        <w:t>3</w:t>
      </w:r>
      <w:r>
        <w:rPr>
          <w:rFonts w:hint="eastAsia" w:ascii="仿宋_GB2312" w:hAnsi="仿宋_GB2312" w:eastAsia="仿宋_GB2312" w:cs="仿宋_GB2312"/>
          <w:color w:val="000000"/>
          <w:sz w:val="32"/>
          <w:szCs w:val="32"/>
          <w:lang w:val="en-US" w:eastAsia="zh-CN"/>
        </w:rPr>
        <w:t>件，信函申请</w:t>
      </w:r>
      <w:r>
        <w:rPr>
          <w:rFonts w:hint="eastAsia" w:ascii="仿宋_GB2312" w:hAnsi="仿宋_GB2312" w:cs="仿宋_GB2312"/>
          <w:color w:val="000000"/>
          <w:sz w:val="32"/>
          <w:szCs w:val="32"/>
          <w:lang w:val="en-US" w:eastAsia="zh-CN"/>
        </w:rPr>
        <w:t>14</w:t>
      </w:r>
      <w:r>
        <w:rPr>
          <w:rFonts w:hint="eastAsia" w:ascii="仿宋_GB2312" w:hAnsi="仿宋_GB2312" w:eastAsia="仿宋_GB2312" w:cs="仿宋_GB2312"/>
          <w:color w:val="000000"/>
          <w:sz w:val="32"/>
          <w:szCs w:val="32"/>
          <w:lang w:val="en-US" w:eastAsia="zh-CN"/>
        </w:rPr>
        <w:t>件。从答复情况看，予以公开</w:t>
      </w:r>
      <w:r>
        <w:rPr>
          <w:rFonts w:hint="eastAsia" w:ascii="仿宋_GB2312" w:hAnsi="仿宋_GB2312" w:cs="仿宋_GB2312"/>
          <w:color w:val="000000"/>
          <w:sz w:val="32"/>
          <w:szCs w:val="32"/>
          <w:lang w:val="en-US" w:eastAsia="zh-CN"/>
        </w:rPr>
        <w:t>5</w:t>
      </w:r>
      <w:r>
        <w:rPr>
          <w:rFonts w:hint="eastAsia" w:ascii="仿宋_GB2312" w:hAnsi="仿宋_GB2312" w:eastAsia="仿宋_GB2312" w:cs="仿宋_GB2312"/>
          <w:color w:val="000000"/>
          <w:sz w:val="32"/>
          <w:szCs w:val="32"/>
          <w:lang w:val="en-US" w:eastAsia="zh-CN"/>
        </w:rPr>
        <w:t>件，</w:t>
      </w:r>
      <w:r>
        <w:rPr>
          <w:rFonts w:hint="eastAsia" w:ascii="仿宋_GB2312" w:hAnsi="仿宋_GB2312" w:cs="仿宋_GB2312"/>
          <w:color w:val="000000"/>
          <w:sz w:val="32"/>
          <w:szCs w:val="32"/>
          <w:lang w:val="en-US" w:eastAsia="zh-CN"/>
        </w:rPr>
        <w:t>部分公开7件，</w:t>
      </w:r>
      <w:r>
        <w:rPr>
          <w:rFonts w:hint="eastAsia" w:ascii="仿宋_GB2312" w:hAnsi="仿宋_GB2312" w:eastAsia="仿宋_GB2312" w:cs="仿宋_GB2312"/>
          <w:color w:val="000000"/>
          <w:sz w:val="32"/>
          <w:szCs w:val="32"/>
          <w:lang w:val="en-US" w:eastAsia="zh-CN"/>
        </w:rPr>
        <w:t>不予公开1件，无法提供</w:t>
      </w:r>
      <w:r>
        <w:rPr>
          <w:rFonts w:hint="eastAsia" w:ascii="仿宋_GB2312" w:hAnsi="仿宋_GB2312" w:cs="仿宋_GB2312"/>
          <w:color w:val="000000"/>
          <w:sz w:val="32"/>
          <w:szCs w:val="32"/>
          <w:lang w:val="en-US" w:eastAsia="zh-CN"/>
        </w:rPr>
        <w:t>3</w:t>
      </w:r>
      <w:r>
        <w:rPr>
          <w:rFonts w:hint="eastAsia" w:ascii="仿宋_GB2312" w:hAnsi="仿宋_GB2312" w:eastAsia="仿宋_GB2312" w:cs="仿宋_GB2312"/>
          <w:color w:val="000000"/>
          <w:sz w:val="32"/>
          <w:szCs w:val="32"/>
          <w:lang w:val="en-US" w:eastAsia="zh-CN"/>
        </w:rPr>
        <w:t>件，不予处理</w:t>
      </w:r>
      <w:r>
        <w:rPr>
          <w:rFonts w:hint="eastAsia" w:ascii="仿宋_GB2312" w:hAnsi="仿宋_GB2312" w:cs="仿宋_GB2312"/>
          <w:color w:val="000000"/>
          <w:sz w:val="32"/>
          <w:szCs w:val="32"/>
          <w:lang w:val="en-US" w:eastAsia="zh-CN"/>
        </w:rPr>
        <w:t>0</w:t>
      </w:r>
      <w:r>
        <w:rPr>
          <w:rFonts w:hint="eastAsia" w:ascii="仿宋_GB2312" w:hAnsi="仿宋_GB2312" w:eastAsia="仿宋_GB2312" w:cs="仿宋_GB2312"/>
          <w:color w:val="000000"/>
          <w:sz w:val="32"/>
          <w:szCs w:val="32"/>
          <w:lang w:val="en-US" w:eastAsia="zh-CN"/>
        </w:rPr>
        <w:t>件</w:t>
      </w:r>
      <w:r>
        <w:rPr>
          <w:rFonts w:hint="eastAsia" w:ascii="仿宋_GB2312" w:hAnsi="仿宋_GB2312" w:cs="仿宋_GB2312"/>
          <w:color w:val="000000"/>
          <w:sz w:val="32"/>
          <w:szCs w:val="32"/>
          <w:lang w:val="en-US" w:eastAsia="zh-CN"/>
        </w:rPr>
        <w:t>，结转下年度继续办理1件</w:t>
      </w:r>
      <w:r>
        <w:rPr>
          <w:rFonts w:hint="eastAsia" w:ascii="仿宋_GB2312" w:hAnsi="仿宋_GB2312" w:eastAsia="仿宋_GB2312" w:cs="仿宋_GB2312"/>
          <w:color w:val="000000"/>
          <w:sz w:val="32"/>
          <w:szCs w:val="32"/>
          <w:lang w:val="en-US" w:eastAsia="zh-CN"/>
        </w:rPr>
        <w:t>。以上依申请公开均按照规定时限和流程予以答复，做到答复及时准确规范。</w:t>
      </w:r>
    </w:p>
    <w:p w14:paraId="423B88FD">
      <w:pPr>
        <w:widowControl w:val="0"/>
        <w:spacing w:line="560" w:lineRule="exact"/>
        <w:ind w:firstLine="640"/>
        <w:rPr>
          <w:rFonts w:hint="eastAsia" w:ascii="楷体_GB2312" w:hAnsi="楷体_GB2312" w:eastAsia="楷体_GB2312" w:cs="楷体_GB2312"/>
          <w:color w:val="000000"/>
          <w:sz w:val="32"/>
          <w:szCs w:val="32"/>
          <w:lang w:eastAsia="zh-CN"/>
        </w:rPr>
      </w:pPr>
      <w:r>
        <w:rPr>
          <w:rFonts w:hint="eastAsia" w:ascii="楷体_GB2312" w:hAnsi="楷体_GB2312" w:eastAsia="楷体_GB2312" w:cs="楷体_GB2312"/>
          <w:color w:val="000000"/>
          <w:sz w:val="32"/>
          <w:szCs w:val="32"/>
          <w:lang w:eastAsia="zh-CN"/>
        </w:rPr>
        <w:t>（</w:t>
      </w:r>
      <w:r>
        <w:rPr>
          <w:rFonts w:hint="eastAsia" w:ascii="楷体_GB2312" w:hAnsi="楷体_GB2312" w:eastAsia="楷体_GB2312" w:cs="楷体_GB2312"/>
          <w:color w:val="000000"/>
          <w:sz w:val="32"/>
          <w:szCs w:val="32"/>
          <w:lang w:val="en-US" w:eastAsia="zh-CN"/>
        </w:rPr>
        <w:t>三</w:t>
      </w:r>
      <w:r>
        <w:rPr>
          <w:rFonts w:hint="eastAsia" w:ascii="楷体_GB2312" w:hAnsi="楷体_GB2312" w:eastAsia="楷体_GB2312" w:cs="楷体_GB2312"/>
          <w:color w:val="000000"/>
          <w:sz w:val="32"/>
          <w:szCs w:val="32"/>
          <w:lang w:eastAsia="zh-CN"/>
        </w:rPr>
        <w:t>）政府信息管理</w:t>
      </w:r>
    </w:p>
    <w:p w14:paraId="3191FC3D">
      <w:pPr>
        <w:spacing w:line="560" w:lineRule="exact"/>
        <w:ind w:firstLine="640" w:firstLineChars="200"/>
        <w:jc w:val="left"/>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rPr>
        <w:t>制定并实施《</w:t>
      </w:r>
      <w:r>
        <w:rPr>
          <w:rFonts w:hint="eastAsia" w:ascii="仿宋_GB2312" w:hAnsi="仿宋_GB2312" w:cs="仿宋_GB2312"/>
          <w:sz w:val="32"/>
          <w:szCs w:val="32"/>
          <w:lang w:eastAsia="zh-CN"/>
        </w:rPr>
        <w:t>2024</w:t>
      </w:r>
      <w:r>
        <w:rPr>
          <w:rFonts w:hint="eastAsia" w:ascii="仿宋_GB2312" w:hAnsi="仿宋_GB2312" w:eastAsia="仿宋_GB2312" w:cs="仿宋_GB2312"/>
          <w:sz w:val="32"/>
          <w:szCs w:val="32"/>
        </w:rPr>
        <w:t>年</w:t>
      </w:r>
      <w:r>
        <w:rPr>
          <w:rFonts w:hint="eastAsia" w:ascii="仿宋_GB2312" w:hAnsi="仿宋_GB2312" w:cs="仿宋_GB2312"/>
          <w:sz w:val="32"/>
          <w:szCs w:val="32"/>
          <w:lang w:eastAsia="zh-CN"/>
        </w:rPr>
        <w:t>高安市</w:t>
      </w:r>
      <w:r>
        <w:rPr>
          <w:rFonts w:hint="eastAsia" w:ascii="仿宋_GB2312" w:hAnsi="仿宋_GB2312" w:eastAsia="仿宋_GB2312" w:cs="仿宋_GB2312"/>
          <w:sz w:val="32"/>
          <w:szCs w:val="32"/>
          <w:lang w:eastAsia="zh-CN"/>
        </w:rPr>
        <w:t>市场监督管理局</w:t>
      </w:r>
      <w:r>
        <w:rPr>
          <w:rFonts w:hint="eastAsia" w:ascii="仿宋_GB2312" w:hAnsi="仿宋_GB2312" w:eastAsia="仿宋_GB2312" w:cs="仿宋_GB2312"/>
          <w:sz w:val="32"/>
          <w:szCs w:val="32"/>
        </w:rPr>
        <w:t>政务公开工作实施方案》，</w:t>
      </w:r>
      <w:r>
        <w:rPr>
          <w:rFonts w:hint="eastAsia" w:ascii="仿宋_GB2312" w:hAnsi="仿宋_GB2312" w:eastAsia="仿宋_GB2312" w:cs="仿宋_GB2312"/>
          <w:kern w:val="2"/>
          <w:sz w:val="32"/>
          <w:szCs w:val="22"/>
        </w:rPr>
        <w:t>对政府信息公开工作实行统一要求、统一管理，明确办公室专人负责，各</w:t>
      </w:r>
      <w:r>
        <w:rPr>
          <w:rFonts w:hint="eastAsia" w:ascii="仿宋_GB2312" w:hAnsi="仿宋_GB2312" w:cs="仿宋_GB2312"/>
          <w:kern w:val="2"/>
          <w:sz w:val="32"/>
          <w:szCs w:val="22"/>
          <w:lang w:eastAsia="zh-CN"/>
        </w:rPr>
        <w:t>科室</w:t>
      </w:r>
      <w:r>
        <w:rPr>
          <w:rFonts w:hint="eastAsia" w:ascii="仿宋_GB2312" w:hAnsi="仿宋_GB2312" w:eastAsia="仿宋_GB2312" w:cs="仿宋_GB2312"/>
          <w:kern w:val="2"/>
          <w:sz w:val="32"/>
          <w:szCs w:val="22"/>
        </w:rPr>
        <w:t>确定负责人和工作人员，落实责任，规范管理。</w:t>
      </w:r>
      <w:r>
        <w:rPr>
          <w:rFonts w:hint="eastAsia" w:ascii="仿宋_GB2312" w:hAnsi="仿宋_GB2312" w:eastAsia="仿宋_GB2312" w:cs="仿宋_GB2312"/>
          <w:sz w:val="32"/>
          <w:szCs w:val="32"/>
          <w:lang w:eastAsia="zh-CN"/>
        </w:rPr>
        <w:t>严格落实</w:t>
      </w:r>
      <w:r>
        <w:rPr>
          <w:rFonts w:hint="eastAsia" w:ascii="仿宋_GB2312" w:hAnsi="仿宋_GB2312" w:eastAsia="仿宋_GB2312" w:cs="仿宋_GB2312"/>
          <w:sz w:val="32"/>
          <w:szCs w:val="32"/>
          <w:lang w:val="en-US" w:eastAsia="zh-CN"/>
        </w:rPr>
        <w:t>信息</w:t>
      </w:r>
      <w:r>
        <w:rPr>
          <w:rFonts w:hint="eastAsia" w:ascii="仿宋_GB2312" w:hAnsi="仿宋_GB2312" w:eastAsia="仿宋_GB2312" w:cs="仿宋_GB2312"/>
          <w:sz w:val="32"/>
          <w:szCs w:val="32"/>
          <w:lang w:eastAsia="zh-CN"/>
        </w:rPr>
        <w:t>审查机制，对拟公开的政府信息</w:t>
      </w:r>
      <w:r>
        <w:rPr>
          <w:rFonts w:hint="eastAsia" w:ascii="仿宋_GB2312" w:hAnsi="仿宋_GB2312" w:eastAsia="仿宋_GB2312" w:cs="仿宋_GB2312"/>
          <w:sz w:val="32"/>
          <w:szCs w:val="32"/>
          <w:lang w:val="en-US" w:eastAsia="zh-CN"/>
        </w:rPr>
        <w:t>施行</w:t>
      </w:r>
      <w:r>
        <w:rPr>
          <w:rFonts w:hint="eastAsia" w:ascii="仿宋_GB2312" w:hAnsi="仿宋_GB2312" w:cs="仿宋_GB2312"/>
          <w:sz w:val="32"/>
          <w:szCs w:val="32"/>
          <w:lang w:val="en-US" w:eastAsia="zh-CN"/>
        </w:rPr>
        <w:t>科室</w:t>
      </w:r>
      <w:r>
        <w:rPr>
          <w:rFonts w:hint="eastAsia" w:ascii="仿宋_GB2312" w:hAnsi="仿宋_GB2312" w:eastAsia="仿宋_GB2312" w:cs="仿宋_GB2312"/>
          <w:sz w:val="32"/>
          <w:szCs w:val="32"/>
          <w:lang w:val="en-US" w:eastAsia="zh-CN"/>
        </w:rPr>
        <w:t>负责人、信息公开</w:t>
      </w:r>
      <w:r>
        <w:rPr>
          <w:rFonts w:hint="eastAsia" w:ascii="仿宋_GB2312" w:hAnsi="仿宋_GB2312" w:eastAsia="仿宋_GB2312" w:cs="仿宋_GB2312"/>
          <w:sz w:val="32"/>
          <w:szCs w:val="32"/>
          <w:lang w:eastAsia="zh-CN"/>
        </w:rPr>
        <w:t>负责人、</w:t>
      </w:r>
      <w:r>
        <w:rPr>
          <w:rFonts w:hint="eastAsia" w:ascii="仿宋_GB2312" w:hAnsi="仿宋_GB2312" w:eastAsia="仿宋_GB2312" w:cs="仿宋_GB2312"/>
          <w:sz w:val="32"/>
          <w:szCs w:val="32"/>
          <w:lang w:val="en-US" w:eastAsia="zh-CN"/>
        </w:rPr>
        <w:t>机要保密</w:t>
      </w:r>
      <w:r>
        <w:rPr>
          <w:rFonts w:hint="eastAsia" w:ascii="仿宋_GB2312" w:hAnsi="仿宋_GB2312" w:eastAsia="仿宋_GB2312" w:cs="仿宋_GB2312"/>
          <w:sz w:val="32"/>
          <w:szCs w:val="32"/>
          <w:lang w:eastAsia="zh-CN"/>
        </w:rPr>
        <w:t>负责人、分管局领导</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重把关</w:t>
      </w:r>
      <w:r>
        <w:rPr>
          <w:rFonts w:hint="eastAsia" w:ascii="仿宋_GB2312" w:hAnsi="仿宋_GB2312" w:eastAsia="仿宋_GB2312" w:cs="仿宋_GB2312"/>
          <w:sz w:val="32"/>
          <w:szCs w:val="32"/>
          <w:lang w:val="en-US" w:eastAsia="zh-CN"/>
        </w:rPr>
        <w:t>制度</w:t>
      </w:r>
      <w:r>
        <w:rPr>
          <w:rFonts w:hint="eastAsia" w:ascii="仿宋_GB2312" w:hAnsi="仿宋_GB2312" w:eastAsia="仿宋_GB2312" w:cs="仿宋_GB2312"/>
          <w:sz w:val="32"/>
          <w:szCs w:val="32"/>
          <w:lang w:eastAsia="zh-CN"/>
        </w:rPr>
        <w:t>，坚持“先审查后公开”原则，妥善处理好政务公开与保守国家秘密的关系。</w:t>
      </w:r>
    </w:p>
    <w:p w14:paraId="20BBFAE5">
      <w:pPr>
        <w:spacing w:line="560" w:lineRule="exact"/>
        <w:ind w:firstLine="640" w:firstLineChars="200"/>
        <w:jc w:val="left"/>
        <w:rPr>
          <w:rFonts w:hint="eastAsia" w:ascii="仿宋_GB2312" w:hAnsi="仿宋_GB2312" w:eastAsia="仿宋_GB2312" w:cs="仿宋_GB2312"/>
          <w:kern w:val="2"/>
          <w:sz w:val="32"/>
          <w:szCs w:val="22"/>
          <w:lang w:eastAsia="zh-CN"/>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四</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平台建设</w:t>
      </w:r>
    </w:p>
    <w:p w14:paraId="58DD8C87">
      <w:pPr>
        <w:spacing w:line="560" w:lineRule="exact"/>
        <w:ind w:firstLine="640" w:firstLineChars="200"/>
        <w:jc w:val="left"/>
        <w:rPr>
          <w:rFonts w:hint="eastAsia" w:ascii="仿宋_GB2312" w:hAnsi="仿宋_GB2312" w:eastAsia="仿宋_GB2312" w:cs="仿宋_GB2312"/>
          <w:kern w:val="2"/>
          <w:sz w:val="32"/>
          <w:szCs w:val="22"/>
          <w:highlight w:val="green"/>
        </w:rPr>
      </w:pPr>
      <w:r>
        <w:rPr>
          <w:rFonts w:hint="eastAsia" w:ascii="仿宋_GB2312" w:hAnsi="仿宋_GB2312" w:eastAsia="仿宋_GB2312" w:cs="仿宋_GB2312"/>
          <w:kern w:val="2"/>
          <w:sz w:val="32"/>
          <w:szCs w:val="22"/>
          <w:lang w:val="en-US" w:eastAsia="zh-CN"/>
        </w:rPr>
        <w:t>市场监管局加强信息共享及信息公开平台建设，建立了网站公开平台、单位电话、现场受理三种依申请公开的受理方式，利用政务公开网站，及时更新政府信息，严格落实信息公开保密审查等系列制度，不断规范和完善信息公开程序和内容。</w:t>
      </w:r>
    </w:p>
    <w:p w14:paraId="7A290197">
      <w:pPr>
        <w:spacing w:line="560" w:lineRule="exact"/>
        <w:ind w:firstLine="640" w:firstLineChars="200"/>
        <w:jc w:val="left"/>
        <w:rPr>
          <w:rFonts w:hint="eastAsia" w:ascii="楷体_GB2312" w:hAnsi="楷体_GB2312" w:eastAsia="楷体_GB2312" w:cs="楷体_GB2312"/>
          <w:kern w:val="2"/>
          <w:sz w:val="32"/>
          <w:szCs w:val="22"/>
          <w:highlight w:val="none"/>
          <w:lang w:val="en-US" w:eastAsia="zh-CN"/>
        </w:rPr>
      </w:pPr>
      <w:r>
        <w:rPr>
          <w:rFonts w:hint="eastAsia" w:ascii="楷体_GB2312" w:hAnsi="楷体_GB2312" w:eastAsia="楷体_GB2312" w:cs="楷体_GB2312"/>
          <w:kern w:val="2"/>
          <w:sz w:val="32"/>
          <w:szCs w:val="22"/>
          <w:highlight w:val="none"/>
          <w:lang w:eastAsia="zh-CN"/>
        </w:rPr>
        <w:t>（</w:t>
      </w:r>
      <w:r>
        <w:rPr>
          <w:rFonts w:hint="eastAsia" w:ascii="楷体_GB2312" w:hAnsi="楷体_GB2312" w:eastAsia="楷体_GB2312" w:cs="楷体_GB2312"/>
          <w:kern w:val="2"/>
          <w:sz w:val="32"/>
          <w:szCs w:val="22"/>
          <w:highlight w:val="none"/>
          <w:lang w:val="en-US" w:eastAsia="zh-CN"/>
        </w:rPr>
        <w:t>五</w:t>
      </w:r>
      <w:r>
        <w:rPr>
          <w:rFonts w:hint="eastAsia" w:ascii="楷体_GB2312" w:hAnsi="楷体_GB2312" w:eastAsia="楷体_GB2312" w:cs="楷体_GB2312"/>
          <w:kern w:val="2"/>
          <w:sz w:val="32"/>
          <w:szCs w:val="22"/>
          <w:highlight w:val="none"/>
          <w:lang w:eastAsia="zh-CN"/>
        </w:rPr>
        <w:t>）监督保障</w:t>
      </w:r>
    </w:p>
    <w:p w14:paraId="0AE8696B">
      <w:pPr>
        <w:spacing w:line="560" w:lineRule="exact"/>
        <w:ind w:firstLine="640" w:firstLineChars="200"/>
        <w:jc w:val="left"/>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kern w:val="2"/>
          <w:sz w:val="32"/>
          <w:szCs w:val="22"/>
          <w:highlight w:val="none"/>
          <w:lang w:val="en-US" w:eastAsia="zh-CN"/>
        </w:rPr>
        <w:t>根据</w:t>
      </w:r>
      <w:r>
        <w:rPr>
          <w:rFonts w:hint="eastAsia" w:ascii="仿宋_GB2312" w:hAnsi="仿宋_GB2312" w:eastAsia="仿宋_GB2312" w:cs="仿宋_GB2312"/>
          <w:kern w:val="2"/>
          <w:sz w:val="32"/>
          <w:szCs w:val="22"/>
          <w:highlight w:val="none"/>
        </w:rPr>
        <w:t>《中华人民共和国政府信息公开条</w:t>
      </w:r>
      <w:r>
        <w:rPr>
          <w:rFonts w:hint="eastAsia" w:ascii="仿宋_GB2312" w:hAnsi="仿宋_GB2312" w:eastAsia="仿宋_GB2312" w:cs="仿宋_GB2312"/>
          <w:kern w:val="2"/>
          <w:sz w:val="32"/>
          <w:szCs w:val="22"/>
        </w:rPr>
        <w:t>例》《</w:t>
      </w:r>
      <w:r>
        <w:rPr>
          <w:rFonts w:hint="eastAsia" w:ascii="仿宋_GB2312" w:hAnsi="仿宋_GB2312" w:cs="仿宋_GB2312"/>
          <w:kern w:val="2"/>
          <w:sz w:val="32"/>
          <w:szCs w:val="22"/>
          <w:lang w:eastAsia="zh-CN"/>
        </w:rPr>
        <w:t>2024</w:t>
      </w:r>
      <w:r>
        <w:rPr>
          <w:rFonts w:hint="eastAsia" w:ascii="仿宋_GB2312" w:hAnsi="仿宋_GB2312" w:eastAsia="仿宋_GB2312" w:cs="仿宋_GB2312"/>
          <w:kern w:val="2"/>
          <w:sz w:val="32"/>
          <w:szCs w:val="22"/>
        </w:rPr>
        <w:t>年</w:t>
      </w:r>
      <w:r>
        <w:rPr>
          <w:rFonts w:hint="eastAsia" w:ascii="仿宋_GB2312" w:hAnsi="仿宋_GB2312" w:cs="仿宋_GB2312"/>
          <w:kern w:val="2"/>
          <w:sz w:val="32"/>
          <w:szCs w:val="22"/>
          <w:lang w:eastAsia="zh-CN"/>
        </w:rPr>
        <w:t>高安市</w:t>
      </w:r>
      <w:r>
        <w:rPr>
          <w:rFonts w:hint="eastAsia" w:ascii="仿宋_GB2312" w:hAnsi="仿宋_GB2312" w:eastAsia="仿宋_GB2312" w:cs="仿宋_GB2312"/>
          <w:kern w:val="2"/>
          <w:sz w:val="32"/>
          <w:szCs w:val="22"/>
        </w:rPr>
        <w:t>政务公开工作要点》，建立健全政府信息公开申请受理答复各环节制度规范</w:t>
      </w:r>
      <w:r>
        <w:rPr>
          <w:rFonts w:hint="eastAsia" w:ascii="仿宋_GB2312" w:hAnsi="仿宋_GB2312" w:eastAsia="仿宋_GB2312" w:cs="仿宋_GB2312"/>
          <w:kern w:val="2"/>
          <w:sz w:val="32"/>
          <w:szCs w:val="22"/>
          <w:lang w:eastAsia="zh-CN"/>
        </w:rPr>
        <w:t>。</w:t>
      </w:r>
      <w:r>
        <w:rPr>
          <w:rFonts w:hint="eastAsia" w:ascii="仿宋_GB2312" w:hAnsi="仿宋_GB2312" w:eastAsia="仿宋_GB2312" w:cs="仿宋_GB2312"/>
          <w:kern w:val="2"/>
          <w:sz w:val="32"/>
          <w:szCs w:val="22"/>
        </w:rPr>
        <w:t>组织开展信息发布工作培训，通过督查督办、电话调度等形式，加强对任务落实情况的调度检查，实现市场监管信息公开“一盘棋”。</w:t>
      </w:r>
    </w:p>
    <w:p w14:paraId="3438839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455"/>
        <w:gridCol w:w="2455"/>
        <w:gridCol w:w="2455"/>
        <w:gridCol w:w="2455"/>
      </w:tblGrid>
      <w:tr w14:paraId="29449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156420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14:paraId="705FF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93F38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9A100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B19DD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2C8B8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14:paraId="386E7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C037A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5E61D9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0F0EC8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29165B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14:paraId="4B516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5550D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84047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6D82D7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5C98C7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4</w:t>
            </w:r>
          </w:p>
        </w:tc>
      </w:tr>
      <w:tr w14:paraId="0F869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4E1C73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14:paraId="59CA2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F1C62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26A33A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5D230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25AE0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2F8336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8103</w:t>
            </w:r>
          </w:p>
        </w:tc>
      </w:tr>
      <w:tr w14:paraId="4705D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45A598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14:paraId="14BF7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75C79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D6F0B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5886A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DEABA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3CB245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709</w:t>
            </w:r>
          </w:p>
        </w:tc>
      </w:tr>
      <w:tr w14:paraId="001A3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AF228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79D51A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11</w:t>
            </w:r>
          </w:p>
        </w:tc>
      </w:tr>
      <w:tr w14:paraId="4A75E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29F4AA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14:paraId="390CD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64D7F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2A8184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14:paraId="10D53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137EA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7E1CE6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14:paraId="666FA98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0D3CD5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23CE70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03BEA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14:paraId="69EA3DB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1C7240D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6B842E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14:paraId="05D7FA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53E0C6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14:paraId="76324C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5708A3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C5FB0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1D1F94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14:paraId="1CA7DD0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2BBB07C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350AB0F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4C29F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14:paraId="28D440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27CCB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14:paraId="30DD29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D38FC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A08C7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3FBB6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1F1D1A1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14:paraId="645C5DC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BD9FC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17912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17</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C3D09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3A89C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4C8BA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A0904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6B1D9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B665C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17</w:t>
            </w:r>
          </w:p>
        </w:tc>
      </w:tr>
      <w:tr w14:paraId="237FD41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4BC06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76CC9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B5B05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111FF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83326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A492B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06A24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51651CA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17EE1A5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F43EC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3D72E2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E37AA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5</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3C229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F09C0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0CC5A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93FE4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D514F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59F03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5</w:t>
            </w:r>
          </w:p>
        </w:tc>
      </w:tr>
      <w:tr w14:paraId="39DBC8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CDBEDD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58ED1D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53862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7</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8F798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F4CB9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AA054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00099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7CC43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2F8108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7</w:t>
            </w:r>
          </w:p>
        </w:tc>
      </w:tr>
      <w:tr w14:paraId="0194CA9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4FF9DA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235B23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BB3EC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6F89A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CB3FC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062EE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6F429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7094D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A0E4A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06D457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4E72DA2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89A49B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A6772C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D3A5C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003084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2B5BB5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695EB5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6C50D4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19E544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5C09E2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190FBE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5F2985C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859465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C4C51A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68A0C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114BAB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3FF923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22E9BA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10F8E9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0065B7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776771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5FCC1D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7A28326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C51E2E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5FFC75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86625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32B7BD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459DC4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208366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10D0CD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4611C8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0559E4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DB34C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623DC7B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8DA34B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A52465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3C9CC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09E644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62FBFC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1499AE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2A45AEF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054C5D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5C8E96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49D2B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w:t>
            </w:r>
          </w:p>
        </w:tc>
      </w:tr>
      <w:tr w14:paraId="04413F1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B6BC8F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F8C665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686ED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7000B8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3C2BFD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5957FC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01588F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7320C4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7F0C7B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1346D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1775EC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B78A27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0AC1C5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74586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5C486F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0A3BBD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132FC7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60544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6E45D0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400AA5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B7D70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45F51B9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A62143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D283C5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1B8AA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3F9859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0CDC17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72DB72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381D2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3B5295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0CD41D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72B9BB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497C1F7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37B756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5A8673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53568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30524D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1B472B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682BED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232BDD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355C75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2A97AE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571857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w:t>
            </w:r>
          </w:p>
        </w:tc>
      </w:tr>
      <w:tr w14:paraId="13E3B5E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575C09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D9BC59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D9C83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26297E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2</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1E6AD6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46FC67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02C195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6EC77F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3ECECA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00845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2</w:t>
            </w:r>
          </w:p>
        </w:tc>
      </w:tr>
      <w:tr w14:paraId="1A6863D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B4568F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699233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EF5C8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58C043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020C72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367442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088A24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49C4B6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51E46B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48F64B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1B9DB9D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1B3552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0309C9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58F27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5E276B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2A4589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018992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58993F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0C8701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40D38D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1A85E4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43F50A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BCBA2D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284890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2BED3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5376CE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1910B4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1DB00C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594DD0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0A71E0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6AAFD3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E16BA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3FE82D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902E5E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F55FD0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4A13C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49EA45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4EDF5E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348EDA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575503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79B482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398291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570A08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4C53435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8236D9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B707E4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20462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2BBFFD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2C1AA1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4FD965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2394BA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22F326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676A34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39D901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532355A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5C6AC2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14:paraId="107DE01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0D39DB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14:paraId="653DC8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14:paraId="2D2D3B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14:paraId="79A42C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14:paraId="3877B2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14:paraId="165C8C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14:paraId="5C9006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14:paraId="094586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38D9C4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1C6B485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39C3E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4E4B4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B4E3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8233C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7D616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D1180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7213B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4B1C0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879C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022E272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252A8BC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C84C3E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CC32D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1C8D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B8A31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288F8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A2687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5F93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78180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0D818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08CB69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4A601AB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3AEFAD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4ADBB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C3A3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CC675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E9467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BD0C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8D4CC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8894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39474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3446A2F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2A0A726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5CA2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0B650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16</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25BBA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CBEF9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7FC53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BF32E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EBD5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CAB6C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16</w:t>
            </w:r>
          </w:p>
        </w:tc>
      </w:tr>
      <w:tr w14:paraId="5718243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B42C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37121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715E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C4456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3F35E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4DD00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5619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938AF4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w:t>
            </w:r>
          </w:p>
        </w:tc>
      </w:tr>
    </w:tbl>
    <w:p w14:paraId="2B84A4AF">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207AA40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71336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DBE5D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14:paraId="5724B26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4455E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B71FC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98254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76A33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10143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01D73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4E8BE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14:paraId="20F7B81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6C36BF2">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3AF3C83">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ECD1F81">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419BDBB">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9F4429D">
            <w:pPr>
              <w:spacing w:line="240" w:lineRule="auto"/>
              <w:ind w:firstLine="0" w:firstLineChars="0"/>
              <w:rPr>
                <w:rFonts w:hint="eastAsia" w:ascii="楷体_GB2312" w:hAnsi="楷体_GB2312" w:eastAsia="楷体_GB2312" w:cs="楷体_GB2312"/>
                <w:b/>
                <w:bCs/>
                <w:sz w:val="32"/>
                <w:szCs w:val="32"/>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6DF00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120BA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091E7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493D8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E155C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20405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BD8CD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211C4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3ABB9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7AF72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14:paraId="14D4AC9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30A27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2</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24724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0 </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2924E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 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CA288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 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48246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 2</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622EC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 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128B1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 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C76F3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0 </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4CFC0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 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B45C0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 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F6DC2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 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9E198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0 </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E45AF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0 </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BB300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0 </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EF195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0</w:t>
            </w:r>
          </w:p>
        </w:tc>
      </w:tr>
    </w:tbl>
    <w:p w14:paraId="4612E428">
      <w:pPr>
        <w:keepNext w:val="0"/>
        <w:keepLines w:val="0"/>
        <w:widowControl/>
        <w:suppressLineNumbers w:val="0"/>
        <w:spacing w:line="240" w:lineRule="auto"/>
        <w:ind w:firstLine="0" w:firstLineChars="0"/>
        <w:jc w:val="left"/>
        <w:rPr>
          <w:rFonts w:asciiTheme="minorHAnsi" w:hAnsiTheme="minorHAnsi" w:eastAsiaTheme="minorEastAsia" w:cstheme="minorBidi"/>
          <w:sz w:val="21"/>
          <w:szCs w:val="24"/>
        </w:rPr>
      </w:pPr>
    </w:p>
    <w:p w14:paraId="3B97BDA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14:paraId="397C68BD">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eastAsia" w:ascii="仿宋_GB2312" w:hAnsi="宋体" w:eastAsia="仿宋_GB2312" w:cs="仿宋_GB2312"/>
          <w:i w:val="0"/>
          <w:iCs w:val="0"/>
          <w:caps w:val="0"/>
          <w:color w:val="000000"/>
          <w:spacing w:val="0"/>
          <w:sz w:val="32"/>
          <w:szCs w:val="32"/>
          <w:shd w:val="clear" w:fill="FFFFFF"/>
          <w:lang w:val="en-US" w:eastAsia="zh-CN"/>
        </w:rPr>
      </w:pPr>
      <w:r>
        <w:rPr>
          <w:rFonts w:hint="eastAsia" w:ascii="仿宋_GB2312" w:hAnsi="宋体" w:eastAsia="仿宋_GB2312" w:cs="仿宋_GB2312"/>
          <w:i w:val="0"/>
          <w:iCs w:val="0"/>
          <w:caps w:val="0"/>
          <w:color w:val="000000"/>
          <w:spacing w:val="0"/>
          <w:sz w:val="32"/>
          <w:szCs w:val="32"/>
          <w:shd w:val="clear" w:fill="FFFFFF"/>
          <w:lang w:val="en-US" w:eastAsia="zh-CN"/>
        </w:rPr>
        <w:t>2024年，我局的政府信息公开工作取得了一定成绩，但同时也存在一些问题，一是信息公开的内容涉及广度、深度还不够；二是政府信息更新还不够及时；三是政府信息公开程序有待进一步规范。2025年，我局将从以下几方面加强信息公开工作：一是进一步组织学习《中华人民共和国政府信息公开条例》，认真清理政务公开事项，查漏补缺，编制更加科学规范的公开目录。二是进一步健全和完善政务公开制度，规范公开内容，提高公开质量；对涉及人民群众关心的重大问题、重大决策应及时公开，同时抓好对内与对外公开，提高公开针对性。三是坚持“以公开为</w:t>
      </w:r>
      <w:r>
        <w:rPr>
          <w:rFonts w:hint="eastAsia" w:ascii="仿宋_GB2312" w:hAnsi="宋体" w:cs="仿宋_GB2312"/>
          <w:i w:val="0"/>
          <w:iCs w:val="0"/>
          <w:caps w:val="0"/>
          <w:color w:val="000000"/>
          <w:spacing w:val="0"/>
          <w:sz w:val="32"/>
          <w:szCs w:val="32"/>
          <w:shd w:val="clear" w:fill="FFFFFF"/>
          <w:lang w:val="en-US" w:eastAsia="zh-CN"/>
        </w:rPr>
        <w:t>常态</w:t>
      </w:r>
      <w:r>
        <w:rPr>
          <w:rFonts w:hint="eastAsia" w:ascii="仿宋_GB2312" w:hAnsi="宋体" w:eastAsia="仿宋_GB2312" w:cs="仿宋_GB2312"/>
          <w:i w:val="0"/>
          <w:iCs w:val="0"/>
          <w:caps w:val="0"/>
          <w:color w:val="000000"/>
          <w:spacing w:val="0"/>
          <w:sz w:val="32"/>
          <w:szCs w:val="32"/>
          <w:shd w:val="clear" w:fill="FFFFFF"/>
          <w:lang w:val="en-US" w:eastAsia="zh-CN"/>
        </w:rPr>
        <w:t>，不公开为</w:t>
      </w:r>
      <w:r>
        <w:rPr>
          <w:rFonts w:hint="eastAsia" w:ascii="仿宋_GB2312" w:hAnsi="宋体" w:cs="仿宋_GB2312"/>
          <w:i w:val="0"/>
          <w:iCs w:val="0"/>
          <w:caps w:val="0"/>
          <w:color w:val="000000"/>
          <w:spacing w:val="0"/>
          <w:sz w:val="32"/>
          <w:szCs w:val="32"/>
          <w:shd w:val="clear" w:fill="FFFFFF"/>
          <w:lang w:val="en-US" w:eastAsia="zh-CN"/>
        </w:rPr>
        <w:t>例外</w:t>
      </w:r>
      <w:bookmarkStart w:id="0" w:name="_GoBack"/>
      <w:bookmarkEnd w:id="0"/>
      <w:r>
        <w:rPr>
          <w:rFonts w:hint="eastAsia" w:ascii="仿宋_GB2312" w:hAnsi="宋体" w:eastAsia="仿宋_GB2312" w:cs="仿宋_GB2312"/>
          <w:i w:val="0"/>
          <w:iCs w:val="0"/>
          <w:caps w:val="0"/>
          <w:color w:val="000000"/>
          <w:spacing w:val="0"/>
          <w:sz w:val="32"/>
          <w:szCs w:val="32"/>
          <w:shd w:val="clear" w:fill="FFFFFF"/>
          <w:lang w:val="en-US" w:eastAsia="zh-CN"/>
        </w:rPr>
        <w:t>”的总原则，严格按照相关要求，除了国家秘密、商业秘密和个人隐私以及法律、法规规定不得公开发布的其他政府信息外，进一步加大政府信息公开力度，以确保政府信息公开的完整性、全面性和及时性。</w:t>
      </w:r>
    </w:p>
    <w:p w14:paraId="2C0A960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14:paraId="20DC0899">
      <w:pPr>
        <w:keepNext w:val="0"/>
        <w:keepLines w:val="0"/>
        <w:pageBreakBefore w:val="0"/>
        <w:kinsoku/>
        <w:wordWrap/>
        <w:overflowPunct/>
        <w:topLinePunct w:val="0"/>
        <w:autoSpaceDE/>
        <w:autoSpaceDN/>
        <w:bidi w:val="0"/>
        <w:adjustRightInd/>
        <w:snapToGrid/>
        <w:spacing w:line="560" w:lineRule="exact"/>
        <w:ind w:firstLine="636" w:firstLineChars="199"/>
        <w:textAlignment w:val="auto"/>
      </w:pPr>
      <w:r>
        <w:rPr>
          <w:rFonts w:ascii="仿宋_GB2312" w:hAnsi="宋体" w:eastAsia="仿宋_GB2312" w:cs="仿宋_GB2312"/>
          <w:i w:val="0"/>
          <w:iCs w:val="0"/>
          <w:caps w:val="0"/>
          <w:color w:val="000000"/>
          <w:spacing w:val="0"/>
          <w:sz w:val="32"/>
          <w:szCs w:val="32"/>
          <w:shd w:val="clear" w:fill="FFFFFF"/>
        </w:rPr>
        <w:t>202</w:t>
      </w:r>
      <w:r>
        <w:rPr>
          <w:rFonts w:hint="eastAsia" w:ascii="仿宋_GB2312" w:hAnsi="宋体" w:cs="仿宋_GB2312"/>
          <w:i w:val="0"/>
          <w:iCs w:val="0"/>
          <w:caps w:val="0"/>
          <w:color w:val="000000"/>
          <w:spacing w:val="0"/>
          <w:sz w:val="32"/>
          <w:szCs w:val="32"/>
          <w:shd w:val="clear" w:fill="FFFFFF"/>
          <w:lang w:val="en-US" w:eastAsia="zh-CN"/>
        </w:rPr>
        <w:t>4</w:t>
      </w:r>
      <w:r>
        <w:rPr>
          <w:rFonts w:hint="eastAsia" w:ascii="仿宋_GB2312" w:hAnsi="宋体" w:eastAsia="仿宋_GB2312" w:cs="仿宋_GB2312"/>
          <w:i w:val="0"/>
          <w:iCs w:val="0"/>
          <w:caps w:val="0"/>
          <w:color w:val="000000"/>
          <w:spacing w:val="0"/>
          <w:sz w:val="32"/>
          <w:szCs w:val="32"/>
          <w:shd w:val="clear" w:fill="FFFFFF"/>
        </w:rPr>
        <w:t>年，按照《政府信息公开信息处理费管理办法》，我局不存在收取信息处理费的情况。</w:t>
      </w: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825803">
    <w:pPr>
      <w:pStyle w:val="3"/>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CCE1C3">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CCCE1C3">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E55C42">
    <w:pPr>
      <w:pStyle w:val="3"/>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D89B26">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EFFF6A">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72E01">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D9118B">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3YzEwMGUxYzZhYTE0YmMxYTJmYzEwNzdkMDc1MTQifQ=="/>
  </w:docVars>
  <w:rsids>
    <w:rsidRoot w:val="1A5811E8"/>
    <w:rsid w:val="0158167D"/>
    <w:rsid w:val="087A664E"/>
    <w:rsid w:val="08EA6F9F"/>
    <w:rsid w:val="0CD52552"/>
    <w:rsid w:val="0E1919B2"/>
    <w:rsid w:val="16545BDD"/>
    <w:rsid w:val="16C23ECA"/>
    <w:rsid w:val="1A5811E8"/>
    <w:rsid w:val="1AD31D3E"/>
    <w:rsid w:val="1D623DC5"/>
    <w:rsid w:val="1F2549A5"/>
    <w:rsid w:val="250F62D5"/>
    <w:rsid w:val="268A3AF3"/>
    <w:rsid w:val="2C3D700C"/>
    <w:rsid w:val="2D5D7EB2"/>
    <w:rsid w:val="34741B58"/>
    <w:rsid w:val="3587524D"/>
    <w:rsid w:val="3621472C"/>
    <w:rsid w:val="3677705B"/>
    <w:rsid w:val="3E28404F"/>
    <w:rsid w:val="51383D23"/>
    <w:rsid w:val="55175CA3"/>
    <w:rsid w:val="56180C0B"/>
    <w:rsid w:val="56BF7C5F"/>
    <w:rsid w:val="5AC6661C"/>
    <w:rsid w:val="5B4B2442"/>
    <w:rsid w:val="5CCA4697"/>
    <w:rsid w:val="60E23AF9"/>
    <w:rsid w:val="62D41C6A"/>
    <w:rsid w:val="63772494"/>
    <w:rsid w:val="66386EBE"/>
    <w:rsid w:val="6CCD33BF"/>
    <w:rsid w:val="6D6E0B4E"/>
    <w:rsid w:val="73E3206A"/>
    <w:rsid w:val="7496481D"/>
    <w:rsid w:val="7542133C"/>
    <w:rsid w:val="75AF7A66"/>
    <w:rsid w:val="797C3E46"/>
    <w:rsid w:val="7E607AE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2616</Words>
  <Characters>2731</Characters>
  <Lines>0</Lines>
  <Paragraphs>0</Paragraphs>
  <TotalTime>12</TotalTime>
  <ScaleCrop>false</ScaleCrop>
  <LinksUpToDate>false</LinksUpToDate>
  <CharactersWithSpaces>2747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2022-01-05T10:51:00Z</dcterms:created>
  <dc:creator>Mayday.</dc:creator>
  <cp:lastModifiedBy>wzh</cp:lastModifiedBy>
  <cp:lastPrinted>2025-01-06T01:37:00Z</cp:lastPrinted>
  <dcterms:modified xsi:type="dcterms:W3CDTF">2025-01-07T01:43:21Z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DE47B75AA7F7430D930273A92CA76CF3_13</vt:lpwstr>
  </property>
  <property fmtid="{D5CDD505-2E9C-101B-9397-08002B2CF9AE}" pid="4" name="KSOTemplateDocerSaveRecord">
    <vt:lpwstr>eyJoZGlkIjoiZmEzMmJmZTc5MDI1NDFiMGRiZTQ1Y2NkNWVlZjcwNTYiLCJ1c2VySWQiOiIzOTg1OTkyNzkifQ==</vt:lpwstr>
  </property>
  <property fmtid="{D5CDD505-2E9C-101B-9397-08002B2CF9AE}" pid="5" name="woTemplateTypoMode" linkTarget="0">
    <vt:lpwstr>web</vt:lpwstr>
  </property>
  <property fmtid="{D5CDD505-2E9C-101B-9397-08002B2CF9AE}" pid="6" name="woTemplate" linkTarget="0">
    <vt:i4>1</vt:i4>
  </property>
</Properties>
</file>