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sz w:val="40"/>
          <w:szCs w:val="40"/>
        </w:rPr>
      </w:pPr>
      <w:r>
        <w:rPr>
          <w:rFonts w:hint="eastAsia" w:ascii="方正小标宋简体" w:hAnsi="方正小标宋简体" w:eastAsia="方正小标宋简体" w:cs="Times New Roman"/>
          <w:sz w:val="40"/>
          <w:szCs w:val="40"/>
          <w:lang w:val="en-US" w:eastAsia="zh-CN"/>
        </w:rPr>
        <w:t>高安市水利局2022年</w:t>
      </w:r>
      <w:r>
        <w:rPr>
          <w:rFonts w:hint="eastAsia" w:ascii="方正小标宋简体" w:hAnsi="方正小标宋简体" w:eastAsia="方正小标宋简体" w:cs="Times New Roman"/>
          <w:sz w:val="40"/>
          <w:szCs w:val="40"/>
        </w:rPr>
        <w:t>政府信息公开工作年度</w:t>
      </w:r>
    </w:p>
    <w:p>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sz w:val="40"/>
          <w:szCs w:val="40"/>
        </w:rPr>
      </w:pPr>
      <w:r>
        <w:rPr>
          <w:rFonts w:hint="eastAsia" w:ascii="方正小标宋简体" w:hAnsi="方正小标宋简体" w:eastAsia="方正小标宋简体" w:cs="Times New Roman"/>
          <w:sz w:val="40"/>
          <w:szCs w:val="40"/>
        </w:rPr>
        <w:t>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482" w:firstLineChars="200"/>
        <w:jc w:val="both"/>
        <w:textAlignment w:val="auto"/>
        <w:rPr>
          <w:rFonts w:hint="eastAsia" w:ascii="宋体" w:hAnsi="宋体" w:eastAsia="宋体" w:cs="宋体"/>
          <w:b/>
          <w:bCs/>
          <w:i w:val="0"/>
          <w:iCs w:val="0"/>
          <w:caps w:val="0"/>
          <w:color w:val="333333"/>
          <w:spacing w:val="0"/>
          <w:kern w:val="0"/>
          <w:sz w:val="24"/>
          <w:szCs w:val="24"/>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Chars="0" w:right="0" w:firstLine="640" w:firstLineChars="200"/>
        <w:jc w:val="both"/>
        <w:textAlignment w:val="auto"/>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kern w:val="0"/>
          <w:sz w:val="32"/>
          <w:szCs w:val="32"/>
          <w:shd w:val="clear" w:fill="FFFFFF"/>
          <w:lang w:val="en-US" w:eastAsia="zh-CN" w:bidi="ar"/>
          <w14:textFill>
            <w14:solidFill>
              <w14:schemeClr w14:val="tx1"/>
            </w14:solidFill>
          </w14:textFill>
        </w:rPr>
        <w:t>本报告根据《中华人民共和国政府信息公开条例》（国务院令第711号）和《国务院办公厅政府信息与政务公开办公室关于印发中华人民共和国政府信息公开工作年度报告格式的通知》（国办公开办函〔2021〕30号）等文件要求，由高安市水利局结合有关统计数据编制。本年度报告中所列数据的统计期限自2022年1月1日起至2022年12月31日止。全文包括总体情况、主动公开政府信息情况、收到和处理政府信息公开申请情况、政府信息公开行政复议行政诉讼情况、存在的主要问题及改进情况、其他需要报告的事项。本年度报告的电子版可以从高安市人民政府网站（市水利局）下载。如对本报告有任何疑问，请与高安市水利局办公室联系（电话：0795-5287960）。</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Chars="0" w:right="0" w:firstLine="640" w:firstLineChars="200"/>
        <w:jc w:val="both"/>
        <w:textAlignment w:val="auto"/>
        <w:rPr>
          <w:rFonts w:hint="eastAsia" w:ascii="黑体" w:hAnsi="黑体" w:eastAsia="黑体" w:cs="黑体"/>
          <w:b/>
          <w:bCs/>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一、总体情况</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一</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）主动公开</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今年，市水利局主动公开信息共177条，主要是政务信息、财政信息、规划计划、行政执法、重大建设项目信息、建议提案办理情况、信息公开年度报告等内容。可通过高安市人民政府门户网站的“政府信息公开”栏目查询我单位主动公开的2022年政府信息。</w:t>
      </w:r>
    </w:p>
    <w:p>
      <w:pPr>
        <w:pStyle w:val="3"/>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依申请公开</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Chars="200" w:right="0" w:rightChars="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本年度我单位未收到依申请公开信息。</w:t>
      </w:r>
    </w:p>
    <w:p>
      <w:pPr>
        <w:pStyle w:val="3"/>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0"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政府信息管理</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严格落实信息公开审核机制，所有公开信息由科室工作人员、科室负责人、分管负责人审核把关后公开，确保信息发布质量。同时，严格信息审核和保密审查，确保发布的信息内容不涉密、不泄密。</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四</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政府信息公开</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平台建设</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积极配合市政府门户网站建设，结合水利工作实际，定期在栏目发布相关信息，做好了平台的维护、梳理和更新工作。</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w:t>
      </w: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五</w:t>
      </w:r>
      <w:r>
        <w:rPr>
          <w:rFonts w:hint="eastAsia" w:ascii="楷体_GB2312" w:hAnsi="楷体_GB2312" w:eastAsia="楷体_GB2312" w:cs="楷体_GB2312"/>
          <w:b w:val="0"/>
          <w:bCs w:val="0"/>
          <w:i w:val="0"/>
          <w:caps w:val="0"/>
          <w:color w:val="000000" w:themeColor="text1"/>
          <w:spacing w:val="0"/>
          <w:sz w:val="32"/>
          <w:szCs w:val="32"/>
          <w:shd w:val="clear" w:fill="FFFFFF"/>
          <w:lang w:eastAsia="zh-CN"/>
          <w14:textFill>
            <w14:solidFill>
              <w14:schemeClr w14:val="tx1"/>
            </w14:solidFill>
          </w14:textFill>
        </w:rPr>
        <w:t>）监督保障</w:t>
      </w:r>
    </w:p>
    <w:p>
      <w:pPr>
        <w:pStyle w:val="3"/>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80" w:lineRule="exact"/>
        <w:ind w:leftChars="0" w:right="0" w:rightChars="0" w:firstLine="640" w:firstLineChars="200"/>
        <w:jc w:val="both"/>
        <w:textAlignment w:val="auto"/>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楷体_GB2312" w:hAnsi="楷体_GB2312" w:eastAsia="楷体_GB2312" w:cs="楷体_GB2312"/>
          <w:b w:val="0"/>
          <w:bCs w:val="0"/>
          <w:i w:val="0"/>
          <w:caps w:val="0"/>
          <w:color w:val="000000" w:themeColor="text1"/>
          <w:spacing w:val="0"/>
          <w:sz w:val="32"/>
          <w:szCs w:val="32"/>
          <w:shd w:val="clear" w:fill="FFFFFF"/>
          <w:lang w:val="en-US" w:eastAsia="zh-CN"/>
          <w14:textFill>
            <w14:solidFill>
              <w14:schemeClr w14:val="tx1"/>
            </w14:solidFill>
          </w14:textFill>
        </w:rPr>
        <w:t>坚持政务公开工作一把手负责制，分管领导具体抓，日常工作由局办公室牵头组织，并确定具体人员负责管理平台；细化工作清单，各股室结合工作内容提供信息；形成了领导有力、人人重视、齐抓共管的良好工作局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4"/>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第二十条第（一）项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仿宋_GB2312" w:eastAsia="仿宋_GB2312" w:cs="仿宋_GB2312"/>
                <w:b w:val="0"/>
                <w:bCs w:val="0"/>
                <w:sz w:val="32"/>
                <w:szCs w:val="32"/>
              </w:rPr>
            </w:pPr>
            <w:r>
              <w:rPr>
                <w:rFonts w:hint="eastAsia" w:ascii="仿宋_GB2312" w:hAnsi="仿宋_GB2312" w:cs="仿宋_GB2312"/>
                <w:b w:val="0"/>
                <w:bCs w:val="0"/>
                <w:sz w:val="32"/>
                <w:szCs w:val="3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sz w:val="32"/>
                <w:szCs w:val="32"/>
                <w:lang w:val="en-US" w:eastAsia="zh-CN"/>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仿宋_GB2312" w:hAnsi="仿宋_GB2312" w:eastAsia="仿宋_GB2312" w:cs="仿宋_GB2312"/>
                <w:b w:val="0"/>
                <w:bCs w:val="0"/>
                <w:sz w:val="32"/>
                <w:szCs w:val="32"/>
                <w:lang w:val="en-US"/>
              </w:rPr>
            </w:pPr>
            <w:r>
              <w:rPr>
                <w:rFonts w:hint="eastAsia" w:ascii="楷体_GB2312" w:hAnsi="楷体_GB2312" w:eastAsia="楷体_GB2312" w:cs="楷体_GB2312"/>
                <w:b/>
                <w:bCs/>
                <w:kern w:val="0"/>
                <w:sz w:val="32"/>
                <w:szCs w:val="32"/>
                <w:lang w:val="en-US" w:eastAsia="zh-CN" w:bidi="ar"/>
              </w:rPr>
              <w:t> 121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　</w:t>
            </w:r>
            <w:r>
              <w:rPr>
                <w:rFonts w:hint="eastAsia" w:ascii="仿宋_GB2312" w:hAnsi="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lang w:val="en-US" w:eastAsia="zh-CN" w:bidi="ar"/>
              </w:rPr>
              <w:t>　</w:t>
            </w:r>
            <w:r>
              <w:rPr>
                <w:rFonts w:hint="eastAsia" w:ascii="仿宋_GB2312" w:hAnsi="仿宋_GB2312" w:cs="仿宋_GB2312"/>
                <w:b w:val="0"/>
                <w:bCs w:val="0"/>
                <w:color w:val="000000"/>
                <w:kern w:val="0"/>
                <w:sz w:val="32"/>
                <w:szCs w:val="32"/>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hemeFill="background1"/>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仿宋_GB2312" w:hAnsi="仿宋_GB2312" w:eastAsia="仿宋_GB2312" w:cs="仿宋_GB2312"/>
                <w:b w:val="0"/>
                <w:bCs w:val="0"/>
                <w:sz w:val="32"/>
                <w:szCs w:val="32"/>
                <w:lang w:eastAsia="zh-CN"/>
              </w:rPr>
            </w:pPr>
            <w:r>
              <w:rPr>
                <w:rFonts w:hint="eastAsia" w:ascii="仿宋_GB2312" w:hAnsi="仿宋_GB2312" w:cs="仿宋_GB2312"/>
                <w:b w:val="0"/>
                <w:bCs w:val="0"/>
                <w:sz w:val="32"/>
                <w:szCs w:val="32"/>
                <w:lang w:val="en-US" w:eastAsia="zh-CN"/>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三、收到和处理政府信息公开申请情况</w:t>
      </w: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380"/>
        <w:gridCol w:w="497"/>
        <w:gridCol w:w="438"/>
        <w:gridCol w:w="450"/>
        <w:gridCol w:w="47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97"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b w:val="0"/>
                <w:bCs w:val="0"/>
                <w:sz w:val="32"/>
                <w:szCs w:val="32"/>
                <w:lang w:val="en-US" w:eastAsia="zh-CN"/>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仿宋_GB2312" w:hAnsi="仿宋_GB2312" w:eastAsia="仿宋_GB2312" w:cs="仿宋_GB2312"/>
                <w:sz w:val="32"/>
                <w:szCs w:val="32"/>
              </w:rPr>
            </w:pPr>
            <w:r>
              <w:rPr>
                <w:rFonts w:hint="eastAsia" w:ascii="仿宋_GB2312" w:hAnsi="仿宋_GB2312" w:cs="仿宋_GB2312"/>
                <w:b w:val="0"/>
                <w:bCs w:val="0"/>
                <w:sz w:val="32"/>
                <w:szCs w:val="32"/>
                <w:lang w:val="en-US" w:eastAsia="zh-CN"/>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cs="仿宋_GB2312"/>
                <w:b w:val="0"/>
                <w:bCs w:val="0"/>
                <w:sz w:val="32"/>
                <w:szCs w:val="32"/>
                <w:lang w:val="en-US" w:eastAsia="zh-CN"/>
              </w:rPr>
              <w:t>00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cs="仿宋_GB2312"/>
                <w:b w:val="0"/>
                <w:bCs w:val="0"/>
                <w:sz w:val="32"/>
                <w:szCs w:val="32"/>
                <w:lang w:val="en-US" w:eastAsia="zh-CN"/>
              </w:rPr>
              <w:t>00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cs="仿宋_GB2312"/>
                <w:b w:val="0"/>
                <w:bCs w:val="0"/>
                <w:sz w:val="32"/>
                <w:szCs w:val="32"/>
                <w:lang w:val="en-US" w:eastAsia="zh-CN"/>
              </w:rPr>
              <w:t>00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cs="仿宋_GB2312"/>
                <w:b w:val="0"/>
                <w:bCs w:val="0"/>
                <w:sz w:val="32"/>
                <w:szCs w:val="32"/>
                <w:lang w:val="en-US" w:eastAsia="zh-CN"/>
              </w:rPr>
              <w:t>00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cs="仿宋_GB2312"/>
                <w:b w:val="0"/>
                <w:bCs w:val="0"/>
                <w:sz w:val="32"/>
                <w:szCs w:val="32"/>
                <w:lang w:val="en-US" w:eastAsia="zh-CN"/>
              </w:rPr>
              <w:t>00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cs="仿宋_GB2312"/>
                <w:b w:val="0"/>
                <w:bCs w:val="0"/>
                <w:sz w:val="32"/>
                <w:szCs w:val="32"/>
                <w:lang w:val="en-US" w:eastAsia="zh-CN"/>
              </w:rPr>
              <w:t>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62" w:hRule="atLeast"/>
          <w:jc w:val="center"/>
        </w:trPr>
        <w:tc>
          <w:tcPr>
            <w:tcW w:w="6600"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kern w:val="0"/>
                <w:sz w:val="32"/>
                <w:szCs w:val="32"/>
                <w:lang w:val="en-US" w:eastAsia="zh-CN" w:bidi="ar"/>
              </w:rPr>
            </w:pPr>
            <w:r>
              <w:rPr>
                <w:rFonts w:hint="eastAsia" w:ascii="仿宋_GB2312" w:hAnsi="仿宋_GB2312" w:eastAsia="仿宋_GB2312" w:cs="仿宋_GB2312"/>
                <w:kern w:val="0"/>
                <w:sz w:val="32"/>
                <w:szCs w:val="32"/>
                <w:lang w:val="en-US" w:eastAsia="zh-CN" w:bidi="ar"/>
              </w:rPr>
              <w:t>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cs="仿宋_GB2312"/>
                <w:b w:val="0"/>
                <w:bCs w:val="0"/>
                <w:sz w:val="32"/>
                <w:szCs w:val="32"/>
                <w:lang w:val="en-US" w:eastAsia="zh-CN"/>
              </w:rPr>
              <w:t>00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cs="仿宋_GB2312"/>
                <w:b w:val="0"/>
                <w:bCs w:val="0"/>
                <w:sz w:val="32"/>
                <w:szCs w:val="32"/>
                <w:lang w:val="en-US" w:eastAsia="zh-CN"/>
              </w:rPr>
              <w:t>00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cs="仿宋_GB2312"/>
                <w:b w:val="0"/>
                <w:bCs w:val="0"/>
                <w:sz w:val="32"/>
                <w:szCs w:val="32"/>
                <w:lang w:val="en-US" w:eastAsia="zh-CN"/>
              </w:rPr>
              <w:t>00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cs="仿宋_GB2312"/>
                <w:b w:val="0"/>
                <w:bCs w:val="0"/>
                <w:sz w:val="32"/>
                <w:szCs w:val="32"/>
                <w:lang w:val="en-US" w:eastAsia="zh-CN"/>
              </w:rPr>
              <w:t>00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cs="仿宋_GB2312"/>
                <w:b w:val="0"/>
                <w:bCs w:val="0"/>
                <w:sz w:val="32"/>
                <w:szCs w:val="32"/>
                <w:lang w:val="en-US" w:eastAsia="zh-CN"/>
              </w:rPr>
              <w:t>00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cs="仿宋_GB2312"/>
                <w:b w:val="0"/>
                <w:bCs w:val="0"/>
                <w:sz w:val="32"/>
                <w:szCs w:val="32"/>
                <w:lang w:val="en-US" w:eastAsia="zh-CN"/>
              </w:rPr>
              <w:t>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00</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8" w:space="0"/>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68"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3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8"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779" w:hRule="atLeast"/>
          <w:jc w:val="center"/>
        </w:trPr>
        <w:tc>
          <w:tcPr>
            <w:tcW w:w="780"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nil"/>
              <w:left w:val="nil"/>
              <w:bottom w:val="single" w:color="auto" w:sz="4"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380"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38"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50"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1" w:type="dxa"/>
            <w:tcBorders>
              <w:top w:val="nil"/>
              <w:left w:val="nil"/>
              <w:bottom w:val="single" w:color="auto" w:sz="4" w:space="0"/>
              <w:right w:val="single" w:color="auto" w:sz="8"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kern w:val="0"/>
                <w:sz w:val="32"/>
                <w:szCs w:val="32"/>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 xml:space="preserve">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nil"/>
              <w:left w:val="single" w:color="auto" w:sz="8" w:space="0"/>
              <w:bottom w:val="outset" w:color="auto" w:sz="8" w:space="0"/>
              <w:right w:val="single" w:color="auto" w:sz="4"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38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97"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0</w:t>
            </w:r>
          </w:p>
        </w:tc>
      </w:tr>
    </w:tbl>
    <w:p>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4"/>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428" w:type="dxa"/>
            <w:gridSpan w:val="10"/>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结果维持</w:t>
            </w:r>
          </w:p>
        </w:tc>
        <w:tc>
          <w:tcPr>
            <w:tcW w:w="642"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纠正</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审结</w:t>
            </w:r>
          </w:p>
        </w:tc>
        <w:tc>
          <w:tcPr>
            <w:tcW w:w="642" w:type="dxa"/>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c>
          <w:tcPr>
            <w:tcW w:w="3213"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楷体_GB2312" w:hAnsi="楷体_GB2312" w:eastAsia="楷体_GB2312" w:cs="楷体_GB2312"/>
                <w:b/>
                <w:bCs/>
                <w:sz w:val="32"/>
                <w:szCs w:val="32"/>
              </w:rPr>
            </w:pP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维持</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维持</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纠正</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结果</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尚未</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审结</w:t>
            </w:r>
          </w:p>
        </w:tc>
        <w:tc>
          <w:tcPr>
            <w:tcW w:w="643" w:type="dxa"/>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2"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仿宋_GB2312" w:hAnsi="仿宋_GB2312" w:eastAsia="仿宋_GB2312" w:cs="仿宋_GB2312"/>
                <w:sz w:val="24"/>
                <w:szCs w:val="24"/>
              </w:rPr>
            </w:pPr>
            <w:r>
              <w:rPr>
                <w:rFonts w:hint="eastAsia" w:ascii="仿宋_GB2312" w:hAnsi="仿宋_GB2312" w:cs="仿宋_GB2312"/>
                <w:kern w:val="0"/>
                <w:sz w:val="24"/>
                <w:szCs w:val="24"/>
                <w:lang w:val="en-US" w:eastAsia="zh-CN" w:bidi="ar"/>
              </w:rPr>
              <w:t>0</w:t>
            </w:r>
            <w:r>
              <w:rPr>
                <w:rFonts w:hint="eastAsia" w:ascii="仿宋_GB2312" w:hAnsi="仿宋_GB2312" w:eastAsia="仿宋_GB2312" w:cs="仿宋_GB2312"/>
                <w:kern w:val="0"/>
                <w:sz w:val="24"/>
                <w:szCs w:val="24"/>
                <w:lang w:val="en-US" w:eastAsia="zh-CN" w:bidi="ar"/>
              </w:rPr>
              <w:t> </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default" w:ascii="仿宋_GB2312" w:hAnsi="仿宋_GB2312" w:eastAsia="仿宋_GB2312" w:cs="仿宋_GB2312"/>
                <w:sz w:val="24"/>
                <w:szCs w:val="24"/>
                <w:lang w:val="en-US"/>
              </w:rPr>
            </w:pPr>
            <w:r>
              <w:rPr>
                <w:rFonts w:hint="eastAsia" w:ascii="仿宋_GB2312" w:hAnsi="仿宋_GB2312" w:eastAsia="仿宋_GB2312" w:cs="仿宋_GB2312"/>
                <w:kern w:val="0"/>
                <w:sz w:val="24"/>
                <w:szCs w:val="24"/>
                <w:lang w:val="en-US" w:eastAsia="zh-CN" w:bidi="ar"/>
              </w:rPr>
              <w:t> </w:t>
            </w:r>
            <w:r>
              <w:rPr>
                <w:rFonts w:hint="eastAsia" w:ascii="仿宋_GB2312" w:hAnsi="仿宋_GB2312" w:cs="仿宋_GB2312"/>
                <w:kern w:val="0"/>
                <w:sz w:val="24"/>
                <w:szCs w:val="24"/>
                <w:lang w:val="en-US" w:eastAsia="zh-CN" w:bidi="ar"/>
              </w:rPr>
              <w:t>0</w:t>
            </w:r>
          </w:p>
        </w:tc>
        <w:tc>
          <w:tcPr>
            <w:tcW w:w="643"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240" w:lineRule="auto"/>
              <w:ind w:firstLine="0" w:firstLineChars="0"/>
              <w:rPr>
                <w:rFonts w:hint="eastAsia"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0</w:t>
            </w:r>
          </w:p>
        </w:tc>
      </w:tr>
    </w:tbl>
    <w:p>
      <w:pPr>
        <w:keepNext w:val="0"/>
        <w:keepLines w:val="0"/>
        <w:widowControl/>
        <w:suppressLineNumbers w:val="0"/>
        <w:spacing w:line="240" w:lineRule="auto"/>
        <w:ind w:firstLine="0" w:firstLineChars="0"/>
        <w:jc w:val="left"/>
        <w:rPr>
          <w:rFonts w:asciiTheme="minorHAnsi" w:hAnsiTheme="minorHAnsi" w:eastAsiaTheme="minorEastAsia" w:cstheme="minorBidi"/>
          <w:sz w:val="21"/>
          <w:szCs w:val="24"/>
        </w:rPr>
      </w:pPr>
    </w:p>
    <w:p>
      <w:pPr>
        <w:pStyle w:val="2"/>
        <w:rPr>
          <w:rFonts w:asciiTheme="minorHAnsi" w:hAnsiTheme="minorHAnsi" w:eastAsiaTheme="minorEastAsia" w:cstheme="minorBidi"/>
          <w:sz w:val="21"/>
          <w:szCs w:val="24"/>
        </w:rPr>
      </w:pPr>
    </w:p>
    <w:p>
      <w:pPr>
        <w:rPr>
          <w:rFonts w:asciiTheme="minorHAnsi" w:hAnsiTheme="minorHAnsi" w:eastAsiaTheme="minorEastAsia" w:cstheme="minorBidi"/>
          <w:sz w:val="21"/>
          <w:szCs w:val="24"/>
        </w:rPr>
      </w:pPr>
    </w:p>
    <w:p>
      <w:pPr>
        <w:pStyle w:val="2"/>
      </w:pPr>
    </w:p>
    <w:p>
      <w:pPr>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存在的主要问题及改进情况</w:t>
      </w:r>
    </w:p>
    <w:p>
      <w:pPr>
        <w:pStyle w:val="2"/>
        <w:keepNext/>
        <w:keepLines/>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eastAsia"/>
          <w:lang w:val="en-US" w:eastAsia="zh-CN"/>
        </w:rPr>
      </w:pPr>
      <w:r>
        <w:rPr>
          <w:rFonts w:hint="eastAsia"/>
          <w:lang w:val="en-US" w:eastAsia="zh-CN"/>
        </w:rPr>
        <w:t>一是公开信息内容还不够丰富；二是政策解读方面还存在不全面的问题。解读形式和解读途径过于单一；下一步我局将继续深化公开内容，进一步加大对水利工作公开力度；多种形式开展政策解读，让解读更具吸引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i w:val="0"/>
          <w:iCs w:val="0"/>
          <w:caps w:val="0"/>
          <w:color w:val="333333"/>
          <w:spacing w:val="0"/>
          <w:kern w:val="0"/>
          <w:sz w:val="24"/>
          <w:szCs w:val="24"/>
          <w:lang w:val="en-US" w:eastAsia="zh-CN" w:bidi="ar"/>
        </w:rPr>
      </w:pPr>
      <w:r>
        <w:rPr>
          <w:rFonts w:hint="eastAsia" w:ascii="黑体" w:hAnsi="黑体" w:eastAsia="黑体" w:cs="黑体"/>
          <w:b w:val="0"/>
          <w:bCs w:val="0"/>
          <w:kern w:val="2"/>
          <w:sz w:val="32"/>
          <w:szCs w:val="32"/>
          <w:shd w:val="clear" w:color="auto" w:fill="FFFFFF"/>
          <w:lang w:val="en-US" w:eastAsia="zh-CN" w:bidi="ar-SA"/>
        </w:rPr>
        <w:t>六、其他需要报告的事项</w:t>
      </w:r>
    </w:p>
    <w:p>
      <w:pPr>
        <w:rPr>
          <w:rFonts w:hint="eastAsia" w:ascii="Times New Roman" w:hAnsi="Times New Roman" w:eastAsia="仿宋_GB2312" w:cs="Times New Roman"/>
          <w:b/>
          <w:kern w:val="2"/>
          <w:sz w:val="32"/>
          <w:szCs w:val="32"/>
          <w:lang w:val="en-US" w:eastAsia="zh-CN" w:bidi="ar-SA"/>
        </w:rPr>
      </w:pPr>
      <w:r>
        <w:rPr>
          <w:rFonts w:hint="eastAsia" w:ascii="Times New Roman" w:hAnsi="Times New Roman" w:eastAsia="仿宋_GB2312" w:cs="Times New Roman"/>
          <w:b/>
          <w:kern w:val="2"/>
          <w:sz w:val="32"/>
          <w:szCs w:val="32"/>
          <w:lang w:val="en-US" w:eastAsia="zh-CN" w:bidi="ar-SA"/>
        </w:rPr>
        <w:t>2022年度，本机关无收取信息处理费情况。</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313E4E"/>
    <w:multiLevelType w:val="singleLevel"/>
    <w:tmpl w:val="9E313E4E"/>
    <w:lvl w:ilvl="0" w:tentative="0">
      <w:start w:val="5"/>
      <w:numFmt w:val="chineseCounting"/>
      <w:suff w:val="nothing"/>
      <w:lvlText w:val="%1、"/>
      <w:lvlJc w:val="left"/>
      <w:rPr>
        <w:rFonts w:hint="eastAsia"/>
      </w:rPr>
    </w:lvl>
  </w:abstractNum>
  <w:abstractNum w:abstractNumId="1">
    <w:nsid w:val="F4323AF5"/>
    <w:multiLevelType w:val="singleLevel"/>
    <w:tmpl w:val="F4323AF5"/>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Y5NmZkZTA4M2FkODZjOWYxZTExOGUwYzAyZWI1ZjgifQ=="/>
  </w:docVars>
  <w:rsids>
    <w:rsidRoot w:val="7BBE6F4F"/>
    <w:rsid w:val="08E100B0"/>
    <w:rsid w:val="0ADD0EBF"/>
    <w:rsid w:val="10B93DC2"/>
    <w:rsid w:val="14990E7A"/>
    <w:rsid w:val="16E340F9"/>
    <w:rsid w:val="18300B23"/>
    <w:rsid w:val="18BF3C55"/>
    <w:rsid w:val="1A554870"/>
    <w:rsid w:val="1B7E1EDC"/>
    <w:rsid w:val="21170CAE"/>
    <w:rsid w:val="2ECB4CA9"/>
    <w:rsid w:val="313836C1"/>
    <w:rsid w:val="331A61FF"/>
    <w:rsid w:val="33881F42"/>
    <w:rsid w:val="350F7D2D"/>
    <w:rsid w:val="3DFE2CAC"/>
    <w:rsid w:val="42B6714C"/>
    <w:rsid w:val="52E4615C"/>
    <w:rsid w:val="59151E6C"/>
    <w:rsid w:val="5A215760"/>
    <w:rsid w:val="72D0724E"/>
    <w:rsid w:val="79EB10E0"/>
    <w:rsid w:val="7BBE6F4F"/>
    <w:rsid w:val="7D634A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1723</Words>
  <Characters>1803</Characters>
  <Lines>0</Lines>
  <Paragraphs>0</Paragraphs>
  <TotalTime>50</TotalTime>
  <ScaleCrop>false</ScaleCrop>
  <LinksUpToDate>false</LinksUpToDate>
  <CharactersWithSpaces>1909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2023-01-04T06:23:00Z</dcterms:created>
  <dc:creator>暗歌</dc:creator>
  <cp:lastModifiedBy>暗歌</cp:lastModifiedBy>
  <cp:lastPrinted>2023-01-04T08:31:00Z</cp:lastPrinted>
  <dcterms:modified xsi:type="dcterms:W3CDTF">2023-01-13T07:30:07Z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A71873A144A942BEA69ACBA5413F16D1</vt:lpwstr>
  </property>
</Properties>
</file>