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FC5" w:rsidRDefault="00DF7916">
      <w:pPr>
        <w:pStyle w:val="a5"/>
        <w:widowControl/>
        <w:shd w:val="clear" w:color="auto" w:fill="FFFFFF"/>
        <w:spacing w:beforeAutospacing="0" w:afterAutospacing="0" w:line="6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国家税务总局高安市税务局</w:t>
      </w:r>
      <w:r>
        <w:rPr>
          <w:rFonts w:ascii="方正小标宋简体" w:eastAsia="方正小标宋简体" w:hAnsi="方正小标宋简体" w:cs="方正小标宋简体" w:hint="eastAsia"/>
          <w:sz w:val="44"/>
          <w:szCs w:val="44"/>
          <w:shd w:val="clear" w:color="auto" w:fill="FFFFFF"/>
        </w:rPr>
        <w:t>202</w:t>
      </w:r>
      <w:r>
        <w:rPr>
          <w:rFonts w:ascii="方正小标宋简体" w:eastAsia="方正小标宋简体" w:hAnsi="方正小标宋简体" w:cs="方正小标宋简体" w:hint="eastAsia"/>
          <w:sz w:val="44"/>
          <w:szCs w:val="44"/>
          <w:shd w:val="clear" w:color="auto" w:fill="FFFFFF"/>
        </w:rPr>
        <w:t>2</w:t>
      </w:r>
      <w:r>
        <w:rPr>
          <w:rFonts w:ascii="方正小标宋简体" w:eastAsia="方正小标宋简体" w:hAnsi="方正小标宋简体" w:cs="方正小标宋简体" w:hint="eastAsia"/>
          <w:sz w:val="44"/>
          <w:szCs w:val="44"/>
          <w:shd w:val="clear" w:color="auto" w:fill="FFFFFF"/>
        </w:rPr>
        <w:t>年</w:t>
      </w:r>
    </w:p>
    <w:p w:rsidR="00517FC5" w:rsidRDefault="00DF7916">
      <w:pPr>
        <w:pStyle w:val="a5"/>
        <w:widowControl/>
        <w:shd w:val="clear" w:color="auto" w:fill="FFFFFF"/>
        <w:spacing w:beforeAutospacing="0" w:afterAutospacing="0" w:line="600" w:lineRule="exact"/>
        <w:jc w:val="center"/>
        <w:rPr>
          <w:rFonts w:ascii="方正小标宋简体" w:eastAsia="方正小标宋简体" w:hAnsi="方正小标宋简体" w:cs="方正小标宋简体"/>
          <w:color w:val="333333"/>
          <w:sz w:val="44"/>
          <w:szCs w:val="44"/>
        </w:rPr>
      </w:pPr>
      <w:r>
        <w:rPr>
          <w:rFonts w:ascii="方正小标宋简体" w:eastAsia="方正小标宋简体" w:hAnsi="方正小标宋简体" w:cs="方正小标宋简体" w:hint="eastAsia"/>
          <w:sz w:val="44"/>
          <w:szCs w:val="44"/>
          <w:shd w:val="clear" w:color="auto" w:fill="FFFFFF"/>
        </w:rPr>
        <w:t>政府信息公开工作年度报告</w:t>
      </w:r>
    </w:p>
    <w:p w:rsidR="00517FC5" w:rsidRDefault="00517FC5">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sz w:val="32"/>
          <w:szCs w:val="32"/>
          <w:shd w:val="clear" w:color="auto" w:fill="FFFFFF"/>
        </w:rPr>
      </w:pP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333333"/>
          <w:sz w:val="32"/>
          <w:szCs w:val="32"/>
        </w:rPr>
      </w:pPr>
      <w:bookmarkStart w:id="0" w:name="OLE_LINK4"/>
      <w:r>
        <w:rPr>
          <w:rFonts w:ascii="仿宋_GB2312" w:eastAsia="仿宋_GB2312" w:hAnsi="仿宋_GB2312" w:cs="仿宋_GB2312" w:hint="eastAsia"/>
          <w:sz w:val="32"/>
          <w:szCs w:val="32"/>
          <w:shd w:val="clear" w:color="auto" w:fill="FFFFFF"/>
        </w:rPr>
        <w:t>根据</w:t>
      </w:r>
      <w:r>
        <w:rPr>
          <w:rFonts w:ascii="仿宋_GB2312" w:eastAsia="仿宋_GB2312" w:hAnsi="仿宋_GB2312" w:cs="仿宋_GB2312" w:hint="eastAsia"/>
          <w:sz w:val="32"/>
          <w:szCs w:val="32"/>
          <w:shd w:val="clear" w:color="auto" w:fill="FFFFFF"/>
        </w:rPr>
        <w:t>《中华人民共和国政府信息公开条例</w:t>
      </w:r>
      <w:r>
        <w:rPr>
          <w:rFonts w:ascii="仿宋_GB2312" w:eastAsia="仿宋_GB2312" w:hAnsi="仿宋_GB2312" w:cs="仿宋_GB2312" w:hint="eastAsia"/>
          <w:kern w:val="2"/>
          <w:sz w:val="32"/>
          <w:szCs w:val="32"/>
          <w:shd w:val="clear" w:color="auto" w:fill="FFFFFF"/>
        </w:rPr>
        <w:t>》（国务院令第</w:t>
      </w:r>
      <w:r>
        <w:rPr>
          <w:rFonts w:ascii="仿宋_GB2312" w:eastAsia="仿宋_GB2312" w:hAnsi="仿宋_GB2312" w:cs="仿宋_GB2312" w:hint="eastAsia"/>
          <w:kern w:val="2"/>
          <w:sz w:val="32"/>
          <w:szCs w:val="32"/>
          <w:shd w:val="clear" w:color="auto" w:fill="FFFFFF"/>
        </w:rPr>
        <w:t>711</w:t>
      </w:r>
      <w:r>
        <w:rPr>
          <w:rFonts w:ascii="仿宋_GB2312" w:eastAsia="仿宋_GB2312" w:hAnsi="仿宋_GB2312" w:cs="仿宋_GB2312" w:hint="eastAsia"/>
          <w:kern w:val="2"/>
          <w:sz w:val="32"/>
          <w:szCs w:val="32"/>
          <w:shd w:val="clear" w:color="auto" w:fill="FFFFFF"/>
        </w:rPr>
        <w:t>号）和《国务院办公厅政府信息与政务公开办公室关于印发中华人民共和国政府信息公开工作年度报告格式的通知</w:t>
      </w:r>
      <w:r>
        <w:rPr>
          <w:rFonts w:ascii="仿宋_GB2312" w:eastAsia="仿宋_GB2312" w:hAnsi="仿宋_GB2312" w:cs="仿宋_GB2312" w:hint="eastAsia"/>
          <w:sz w:val="32"/>
          <w:szCs w:val="32"/>
          <w:shd w:val="clear" w:color="auto" w:fill="FFFFFF"/>
        </w:rPr>
        <w:t>》（国办公开办函〔</w:t>
      </w:r>
      <w:r>
        <w:rPr>
          <w:rFonts w:ascii="仿宋_GB2312" w:eastAsia="仿宋_GB2312" w:hAnsi="仿宋_GB2312" w:cs="仿宋_GB2312" w:hint="eastAsia"/>
          <w:sz w:val="32"/>
          <w:szCs w:val="32"/>
          <w:shd w:val="clear" w:color="auto" w:fill="FFFFFF"/>
        </w:rPr>
        <w:t>20</w:t>
      </w:r>
      <w:r>
        <w:rPr>
          <w:rFonts w:ascii="仿宋_GB2312" w:eastAsia="仿宋_GB2312" w:hAnsi="仿宋_GB2312" w:cs="仿宋_GB2312" w:hint="eastAsia"/>
          <w:sz w:val="32"/>
          <w:szCs w:val="32"/>
          <w:shd w:val="clear" w:color="auto" w:fill="FFFFFF"/>
        </w:rPr>
        <w:t>21</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30</w:t>
      </w:r>
      <w:r>
        <w:rPr>
          <w:rFonts w:ascii="仿宋_GB2312" w:eastAsia="仿宋_GB2312" w:hAnsi="仿宋_GB2312" w:cs="仿宋_GB2312" w:hint="eastAsia"/>
          <w:sz w:val="32"/>
          <w:szCs w:val="32"/>
          <w:shd w:val="clear" w:color="auto" w:fill="FFFFFF"/>
        </w:rPr>
        <w:t>号）</w:t>
      </w:r>
      <w:r>
        <w:rPr>
          <w:rFonts w:ascii="仿宋_GB2312" w:eastAsia="仿宋_GB2312" w:hAnsi="仿宋_GB2312" w:cs="仿宋_GB2312" w:hint="eastAsia"/>
          <w:sz w:val="32"/>
          <w:szCs w:val="32"/>
          <w:shd w:val="clear" w:color="auto" w:fill="FFFFFF"/>
        </w:rPr>
        <w:t>等文件通知</w:t>
      </w:r>
      <w:r>
        <w:rPr>
          <w:rFonts w:ascii="仿宋_GB2312" w:eastAsia="仿宋_GB2312" w:hAnsi="仿宋_GB2312" w:cs="仿宋_GB2312" w:hint="eastAsia"/>
          <w:sz w:val="32"/>
          <w:szCs w:val="32"/>
          <w:shd w:val="clear" w:color="auto" w:fill="FFFFFF"/>
        </w:rPr>
        <w:t>要求，</w:t>
      </w:r>
      <w:r>
        <w:rPr>
          <w:rFonts w:ascii="仿宋_GB2312" w:eastAsia="仿宋_GB2312" w:hAnsi="仿宋_GB2312" w:cs="仿宋_GB2312" w:hint="eastAsia"/>
          <w:sz w:val="32"/>
          <w:szCs w:val="32"/>
          <w:shd w:val="clear" w:color="auto" w:fill="FFFFFF"/>
        </w:rPr>
        <w:t>编制本报告</w:t>
      </w:r>
      <w:r>
        <w:rPr>
          <w:rFonts w:ascii="仿宋_GB2312" w:eastAsia="仿宋_GB2312" w:hAnsi="仿宋_GB2312" w:cs="仿宋_GB2312" w:hint="eastAsia"/>
          <w:sz w:val="32"/>
          <w:szCs w:val="32"/>
          <w:shd w:val="clear" w:color="auto" w:fill="FFFFFF"/>
        </w:rPr>
        <w:t>。本报告中所列数据统计期限自</w:t>
      </w:r>
      <w:r>
        <w:rPr>
          <w:rFonts w:ascii="仿宋_GB2312" w:eastAsia="仿宋_GB2312" w:hAnsi="仿宋_GB2312" w:cs="仿宋_GB2312" w:hint="eastAsia"/>
          <w:sz w:val="32"/>
          <w:szCs w:val="32"/>
          <w:shd w:val="clear" w:color="auto" w:fill="FFFFFF"/>
        </w:rPr>
        <w:t>20</w:t>
      </w:r>
      <w:r>
        <w:rPr>
          <w:rFonts w:ascii="仿宋_GB2312" w:eastAsia="仿宋_GB2312" w:hAnsi="仿宋_GB2312" w:cs="仿宋_GB2312" w:hint="eastAsia"/>
          <w:sz w:val="32"/>
          <w:szCs w:val="32"/>
          <w:shd w:val="clear" w:color="auto" w:fill="FFFFFF"/>
        </w:rPr>
        <w:t>22</w:t>
      </w:r>
      <w:r>
        <w:rPr>
          <w:rFonts w:ascii="仿宋_GB2312" w:eastAsia="仿宋_GB2312" w:hAnsi="仿宋_GB2312" w:cs="仿宋_GB2312" w:hint="eastAsia"/>
          <w:sz w:val="32"/>
          <w:szCs w:val="32"/>
          <w:shd w:val="clear" w:color="auto" w:fill="FFFFFF"/>
        </w:rPr>
        <w:t>年</w:t>
      </w:r>
      <w:r>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shd w:val="clear" w:color="auto" w:fill="FFFFFF"/>
        </w:rPr>
        <w:t>月</w:t>
      </w:r>
      <w:r>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shd w:val="clear" w:color="auto" w:fill="FFFFFF"/>
        </w:rPr>
        <w:t>日起至</w:t>
      </w:r>
      <w:r>
        <w:rPr>
          <w:rFonts w:ascii="仿宋_GB2312" w:eastAsia="仿宋_GB2312" w:hAnsi="仿宋_GB2312" w:cs="仿宋_GB2312" w:hint="eastAsia"/>
          <w:sz w:val="32"/>
          <w:szCs w:val="32"/>
          <w:shd w:val="clear" w:color="auto" w:fill="FFFFFF"/>
        </w:rPr>
        <w:t>12</w:t>
      </w:r>
      <w:r>
        <w:rPr>
          <w:rFonts w:ascii="仿宋_GB2312" w:eastAsia="仿宋_GB2312" w:hAnsi="仿宋_GB2312" w:cs="仿宋_GB2312" w:hint="eastAsia"/>
          <w:sz w:val="32"/>
          <w:szCs w:val="32"/>
          <w:shd w:val="clear" w:color="auto" w:fill="FFFFFF"/>
        </w:rPr>
        <w:t>月</w:t>
      </w:r>
      <w:r>
        <w:rPr>
          <w:rFonts w:ascii="仿宋_GB2312" w:eastAsia="仿宋_GB2312" w:hAnsi="仿宋_GB2312" w:cs="仿宋_GB2312" w:hint="eastAsia"/>
          <w:sz w:val="32"/>
          <w:szCs w:val="32"/>
          <w:shd w:val="clear" w:color="auto" w:fill="FFFFFF"/>
        </w:rPr>
        <w:t>31</w:t>
      </w:r>
      <w:r>
        <w:rPr>
          <w:rFonts w:ascii="仿宋_GB2312" w:eastAsia="仿宋_GB2312" w:hAnsi="仿宋_GB2312" w:cs="仿宋_GB2312" w:hint="eastAsia"/>
          <w:sz w:val="32"/>
          <w:szCs w:val="32"/>
          <w:shd w:val="clear" w:color="auto" w:fill="FFFFFF"/>
        </w:rPr>
        <w:t>日止。如对本报告有疑问，请与高安税务政务公开办公室联系</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地址：江西省高安市瑞安路</w:t>
      </w:r>
      <w:r>
        <w:rPr>
          <w:rFonts w:ascii="仿宋_GB2312" w:eastAsia="仿宋_GB2312" w:hAnsi="仿宋_GB2312" w:cs="仿宋_GB2312" w:hint="eastAsia"/>
          <w:sz w:val="32"/>
          <w:szCs w:val="32"/>
          <w:shd w:val="clear" w:color="auto" w:fill="FFFFFF"/>
        </w:rPr>
        <w:t>166</w:t>
      </w:r>
      <w:r>
        <w:rPr>
          <w:rFonts w:ascii="仿宋_GB2312" w:eastAsia="仿宋_GB2312" w:hAnsi="仿宋_GB2312" w:cs="仿宋_GB2312" w:hint="eastAsia"/>
          <w:sz w:val="32"/>
          <w:szCs w:val="32"/>
          <w:shd w:val="clear" w:color="auto" w:fill="FFFFFF"/>
        </w:rPr>
        <w:t>号，邮编</w:t>
      </w:r>
      <w:r>
        <w:rPr>
          <w:rFonts w:ascii="仿宋_GB2312" w:eastAsia="仿宋_GB2312" w:hAnsi="仿宋_GB2312" w:cs="仿宋_GB2312" w:hint="eastAsia"/>
          <w:sz w:val="32"/>
          <w:szCs w:val="32"/>
          <w:shd w:val="clear" w:color="auto" w:fill="FFFFFF"/>
        </w:rPr>
        <w:t>:330800,</w:t>
      </w:r>
      <w:r>
        <w:rPr>
          <w:rFonts w:ascii="仿宋_GB2312" w:eastAsia="仿宋_GB2312" w:hAnsi="仿宋_GB2312" w:cs="仿宋_GB2312" w:hint="eastAsia"/>
          <w:sz w:val="32"/>
          <w:szCs w:val="32"/>
          <w:shd w:val="clear" w:color="auto" w:fill="FFFFFF"/>
        </w:rPr>
        <w:t>电话</w:t>
      </w:r>
      <w:r>
        <w:rPr>
          <w:rFonts w:ascii="仿宋_GB2312" w:eastAsia="仿宋_GB2312" w:hAnsi="仿宋_GB2312" w:cs="仿宋_GB2312" w:hint="eastAsia"/>
          <w:sz w:val="32"/>
          <w:szCs w:val="32"/>
          <w:shd w:val="clear" w:color="auto" w:fill="FFFFFF"/>
        </w:rPr>
        <w:t>:0795-5686611)</w:t>
      </w:r>
      <w:r>
        <w:rPr>
          <w:rFonts w:ascii="仿宋_GB2312" w:eastAsia="仿宋_GB2312" w:hAnsi="仿宋_GB2312" w:cs="仿宋_GB2312" w:hint="eastAsia"/>
          <w:sz w:val="32"/>
          <w:szCs w:val="32"/>
          <w:shd w:val="clear" w:color="auto" w:fill="FFFFFF"/>
        </w:rPr>
        <w:t>。</w:t>
      </w:r>
      <w:bookmarkStart w:id="1" w:name="_GoBack"/>
      <w:bookmarkEnd w:id="1"/>
    </w:p>
    <w:p w:rsidR="00517FC5" w:rsidRDefault="00DF7916">
      <w:pPr>
        <w:widowControl/>
        <w:shd w:val="clear" w:color="auto" w:fill="FFFFFF"/>
        <w:spacing w:line="600" w:lineRule="exact"/>
        <w:ind w:firstLineChars="200" w:firstLine="640"/>
        <w:rPr>
          <w:rFonts w:ascii="黑体" w:eastAsia="黑体" w:hAnsi="黑体" w:cs="黑体"/>
          <w:b/>
          <w:bCs/>
          <w:sz w:val="32"/>
          <w:szCs w:val="32"/>
          <w:shd w:val="clear" w:color="auto" w:fill="FFFFFF"/>
        </w:rPr>
      </w:pPr>
      <w:r>
        <w:rPr>
          <w:rFonts w:ascii="黑体" w:eastAsia="黑体" w:hAnsi="黑体" w:cs="黑体" w:hint="eastAsia"/>
          <w:sz w:val="32"/>
          <w:szCs w:val="32"/>
          <w:shd w:val="clear" w:color="auto" w:fill="FFFFFF"/>
        </w:rPr>
        <w:t>一、总体情况</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202</w:t>
      </w:r>
      <w:r>
        <w:rPr>
          <w:rFonts w:ascii="仿宋_GB2312" w:eastAsia="仿宋_GB2312" w:hAnsi="仿宋_GB2312" w:cs="仿宋_GB2312" w:hint="eastAsia"/>
          <w:color w:val="000000" w:themeColor="text1"/>
          <w:sz w:val="32"/>
          <w:szCs w:val="32"/>
          <w:shd w:val="clear" w:color="auto" w:fill="FFFFFF"/>
        </w:rPr>
        <w:t>2</w:t>
      </w:r>
      <w:r>
        <w:rPr>
          <w:rFonts w:ascii="仿宋_GB2312" w:eastAsia="仿宋_GB2312" w:hAnsi="仿宋_GB2312" w:cs="仿宋_GB2312" w:hint="eastAsia"/>
          <w:color w:val="000000" w:themeColor="text1"/>
          <w:sz w:val="32"/>
          <w:szCs w:val="32"/>
          <w:shd w:val="clear" w:color="auto" w:fill="FFFFFF"/>
        </w:rPr>
        <w:t>年，国家税务总局高安市税务局</w:t>
      </w:r>
      <w:r>
        <w:rPr>
          <w:rFonts w:ascii="仿宋_GB2312" w:eastAsia="仿宋_GB2312" w:hAnsi="仿宋_GB2312" w:cs="仿宋_GB2312" w:hint="eastAsia"/>
          <w:sz w:val="32"/>
          <w:szCs w:val="32"/>
        </w:rPr>
        <w:t>在国家税务总局宜春市税务局、高安市委市政府的领导下，</w:t>
      </w:r>
      <w:r>
        <w:rPr>
          <w:rFonts w:ascii="仿宋_GB2312" w:eastAsia="仿宋_GB2312" w:hAnsi="仿宋_GB2312" w:cs="仿宋_GB2312" w:hint="eastAsia"/>
          <w:color w:val="000000" w:themeColor="text1"/>
          <w:sz w:val="32"/>
          <w:szCs w:val="32"/>
          <w:shd w:val="clear" w:color="auto" w:fill="FFFFFF"/>
        </w:rPr>
        <w:t>坚持以习近平新时代中国特色社会主义思想为指导，认真贯彻落实党中央、国务院关于政务公开工作的决策部署和《</w:t>
      </w:r>
      <w:r>
        <w:rPr>
          <w:rFonts w:ascii="仿宋_GB2312" w:eastAsia="仿宋_GB2312" w:hAnsi="仿宋_GB2312" w:cs="仿宋_GB2312" w:hint="eastAsia"/>
          <w:sz w:val="32"/>
          <w:szCs w:val="32"/>
          <w:shd w:val="clear" w:color="auto" w:fill="FFFFFF"/>
        </w:rPr>
        <w:t>中华人民共和国政府信息公开</w:t>
      </w:r>
      <w:r>
        <w:rPr>
          <w:rFonts w:ascii="仿宋_GB2312" w:eastAsia="仿宋_GB2312" w:hAnsi="仿宋_GB2312" w:cs="仿宋_GB2312" w:hint="eastAsia"/>
          <w:color w:val="000000" w:themeColor="text1"/>
          <w:sz w:val="32"/>
          <w:szCs w:val="32"/>
          <w:shd w:val="clear" w:color="auto" w:fill="FFFFFF"/>
        </w:rPr>
        <w:t>条例》精神，坚持“以公开为常态、不公开为例外”原则，把政务公开贯穿于税收工作全过程，着力发挥以公开促落实、促规范、促服务作用。</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楷体_GB2312" w:eastAsia="楷体_GB2312" w:hAnsi="楷体_GB2312" w:cs="楷体_GB2312" w:hint="eastAsia"/>
          <w:color w:val="000000" w:themeColor="text1"/>
          <w:sz w:val="32"/>
          <w:szCs w:val="32"/>
          <w:shd w:val="clear" w:color="auto" w:fill="FFFFFF"/>
        </w:rPr>
        <w:t>（</w:t>
      </w:r>
      <w:r>
        <w:rPr>
          <w:rFonts w:ascii="楷体_GB2312" w:eastAsia="楷体_GB2312" w:hAnsi="楷体_GB2312" w:cs="楷体_GB2312" w:hint="eastAsia"/>
          <w:color w:val="000000" w:themeColor="text1"/>
          <w:sz w:val="32"/>
          <w:szCs w:val="32"/>
          <w:shd w:val="clear" w:color="auto" w:fill="FFFFFF"/>
        </w:rPr>
        <w:t>一</w:t>
      </w:r>
      <w:r>
        <w:rPr>
          <w:rFonts w:ascii="楷体_GB2312" w:eastAsia="楷体_GB2312" w:hAnsi="楷体_GB2312" w:cs="楷体_GB2312" w:hint="eastAsia"/>
          <w:color w:val="000000" w:themeColor="text1"/>
          <w:sz w:val="32"/>
          <w:szCs w:val="32"/>
          <w:shd w:val="clear" w:color="auto" w:fill="FFFFFF"/>
        </w:rPr>
        <w:t>）主动公开</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2022</w:t>
      </w:r>
      <w:r>
        <w:rPr>
          <w:rFonts w:ascii="仿宋_GB2312" w:eastAsia="仿宋_GB2312" w:hAnsi="仿宋_GB2312" w:cs="仿宋_GB2312" w:hint="eastAsia"/>
          <w:color w:val="000000" w:themeColor="text1"/>
          <w:sz w:val="32"/>
          <w:szCs w:val="32"/>
          <w:shd w:val="clear" w:color="auto" w:fill="FFFFFF"/>
        </w:rPr>
        <w:t>年，我局主动公开政府信息</w:t>
      </w:r>
      <w:r>
        <w:rPr>
          <w:rFonts w:ascii="仿宋_GB2312" w:eastAsia="仿宋_GB2312" w:hAnsi="仿宋_GB2312" w:cs="仿宋_GB2312" w:hint="eastAsia"/>
          <w:color w:val="000000" w:themeColor="text1"/>
          <w:sz w:val="32"/>
          <w:szCs w:val="32"/>
          <w:shd w:val="clear" w:color="auto" w:fill="FFFFFF"/>
        </w:rPr>
        <w:t>92</w:t>
      </w:r>
      <w:r>
        <w:rPr>
          <w:rFonts w:ascii="仿宋_GB2312" w:eastAsia="仿宋_GB2312" w:hAnsi="仿宋_GB2312" w:cs="仿宋_GB2312" w:hint="eastAsia"/>
          <w:color w:val="000000" w:themeColor="text1"/>
          <w:sz w:val="32"/>
          <w:szCs w:val="32"/>
          <w:shd w:val="clear" w:color="auto" w:fill="FFFFFF"/>
        </w:rPr>
        <w:t>条，全文电子化率达</w:t>
      </w:r>
      <w:r>
        <w:rPr>
          <w:rFonts w:ascii="仿宋_GB2312" w:eastAsia="仿宋_GB2312" w:hAnsi="仿宋_GB2312" w:cs="仿宋_GB2312" w:hint="eastAsia"/>
          <w:color w:val="000000" w:themeColor="text1"/>
          <w:sz w:val="32"/>
          <w:szCs w:val="32"/>
          <w:shd w:val="clear" w:color="auto" w:fill="FFFFFF"/>
        </w:rPr>
        <w:t>100%</w:t>
      </w:r>
      <w:r>
        <w:rPr>
          <w:rFonts w:ascii="仿宋_GB2312" w:eastAsia="仿宋_GB2312" w:hAnsi="仿宋_GB2312" w:cs="仿宋_GB2312" w:hint="eastAsia"/>
          <w:color w:val="000000" w:themeColor="text1"/>
          <w:sz w:val="32"/>
          <w:szCs w:val="32"/>
          <w:shd w:val="clear" w:color="auto" w:fill="FFFFFF"/>
        </w:rPr>
        <w:t>。主动公开范围主要包括：机构基本信息，及时更新机构职能、领导信息、联系方式等内容；行政执法信息，公</w:t>
      </w:r>
      <w:r>
        <w:rPr>
          <w:rFonts w:ascii="仿宋_GB2312" w:eastAsia="仿宋_GB2312" w:hAnsi="仿宋_GB2312" w:cs="仿宋_GB2312" w:hint="eastAsia"/>
          <w:color w:val="000000" w:themeColor="text1"/>
          <w:sz w:val="32"/>
          <w:szCs w:val="32"/>
          <w:shd w:val="clear" w:color="auto" w:fill="FFFFFF"/>
        </w:rPr>
        <w:lastRenderedPageBreak/>
        <w:t>布权责清单，公开行政许可信息</w:t>
      </w:r>
      <w:r>
        <w:rPr>
          <w:rFonts w:ascii="仿宋_GB2312" w:eastAsia="仿宋_GB2312" w:hAnsi="仿宋_GB2312" w:cs="仿宋_GB2312" w:hint="eastAsia"/>
          <w:color w:val="000000" w:themeColor="text1"/>
          <w:sz w:val="32"/>
          <w:szCs w:val="32"/>
          <w:shd w:val="clear" w:color="auto" w:fill="FFFFFF"/>
        </w:rPr>
        <w:t>48</w:t>
      </w:r>
      <w:r>
        <w:rPr>
          <w:rFonts w:ascii="仿宋_GB2312" w:eastAsia="仿宋_GB2312" w:hAnsi="仿宋_GB2312" w:cs="仿宋_GB2312" w:hint="eastAsia"/>
          <w:color w:val="000000" w:themeColor="text1"/>
          <w:sz w:val="32"/>
          <w:szCs w:val="32"/>
          <w:shd w:val="clear" w:color="auto" w:fill="FFFFFF"/>
        </w:rPr>
        <w:t>条、行政处罚信息</w:t>
      </w:r>
      <w:r>
        <w:rPr>
          <w:rFonts w:ascii="仿宋_GB2312" w:eastAsia="仿宋_GB2312" w:hAnsi="仿宋_GB2312" w:cs="仿宋_GB2312" w:hint="eastAsia"/>
          <w:color w:val="000000" w:themeColor="text1"/>
          <w:sz w:val="32"/>
          <w:szCs w:val="32"/>
          <w:shd w:val="clear" w:color="auto" w:fill="FFFFFF"/>
        </w:rPr>
        <w:t>9</w:t>
      </w:r>
      <w:r>
        <w:rPr>
          <w:rFonts w:ascii="仿宋_GB2312" w:eastAsia="仿宋_GB2312" w:hAnsi="仿宋_GB2312" w:cs="仿宋_GB2312" w:hint="eastAsia"/>
          <w:color w:val="000000" w:themeColor="text1"/>
          <w:sz w:val="32"/>
          <w:szCs w:val="32"/>
          <w:shd w:val="clear" w:color="auto" w:fill="FFFFFF"/>
        </w:rPr>
        <w:t>条、非正常户公告</w:t>
      </w:r>
      <w:r>
        <w:rPr>
          <w:rFonts w:ascii="仿宋_GB2312" w:eastAsia="仿宋_GB2312" w:hAnsi="仿宋_GB2312" w:cs="仿宋_GB2312" w:hint="eastAsia"/>
          <w:color w:val="000000" w:themeColor="text1"/>
          <w:sz w:val="32"/>
          <w:szCs w:val="32"/>
          <w:shd w:val="clear" w:color="auto" w:fill="FFFFFF"/>
        </w:rPr>
        <w:t>12</w:t>
      </w:r>
      <w:r>
        <w:rPr>
          <w:rFonts w:ascii="仿宋_GB2312" w:eastAsia="仿宋_GB2312" w:hAnsi="仿宋_GB2312" w:cs="仿宋_GB2312" w:hint="eastAsia"/>
          <w:color w:val="000000" w:themeColor="text1"/>
          <w:sz w:val="32"/>
          <w:szCs w:val="32"/>
          <w:shd w:val="clear" w:color="auto" w:fill="FFFFFF"/>
        </w:rPr>
        <w:t>条、欠税公告</w:t>
      </w:r>
      <w:r>
        <w:rPr>
          <w:rFonts w:ascii="仿宋_GB2312" w:eastAsia="仿宋_GB2312" w:hAnsi="仿宋_GB2312" w:cs="仿宋_GB2312" w:hint="eastAsia"/>
          <w:color w:val="000000" w:themeColor="text1"/>
          <w:sz w:val="32"/>
          <w:szCs w:val="32"/>
          <w:shd w:val="clear" w:color="auto" w:fill="FFFFFF"/>
        </w:rPr>
        <w:t>4</w:t>
      </w:r>
      <w:r>
        <w:rPr>
          <w:rFonts w:ascii="仿宋_GB2312" w:eastAsia="仿宋_GB2312" w:hAnsi="仿宋_GB2312" w:cs="仿宋_GB2312" w:hint="eastAsia"/>
          <w:color w:val="000000" w:themeColor="text1"/>
          <w:sz w:val="32"/>
          <w:szCs w:val="32"/>
          <w:shd w:val="clear" w:color="auto" w:fill="FFFFFF"/>
        </w:rPr>
        <w:t>条、个体工商户定额公示</w:t>
      </w:r>
      <w:r>
        <w:rPr>
          <w:rFonts w:ascii="仿宋_GB2312" w:eastAsia="仿宋_GB2312" w:hAnsi="仿宋_GB2312" w:cs="仿宋_GB2312" w:hint="eastAsia"/>
          <w:color w:val="000000" w:themeColor="text1"/>
          <w:sz w:val="32"/>
          <w:szCs w:val="32"/>
          <w:shd w:val="clear" w:color="auto" w:fill="FFFFFF"/>
        </w:rPr>
        <w:t>1</w:t>
      </w:r>
      <w:r>
        <w:rPr>
          <w:rFonts w:ascii="仿宋_GB2312" w:eastAsia="仿宋_GB2312" w:hAnsi="仿宋_GB2312" w:cs="仿宋_GB2312" w:hint="eastAsia"/>
          <w:color w:val="000000" w:themeColor="text1"/>
          <w:sz w:val="32"/>
          <w:szCs w:val="32"/>
          <w:shd w:val="clear" w:color="auto" w:fill="FFFFFF"/>
        </w:rPr>
        <w:t>条、委托代征公告</w:t>
      </w:r>
      <w:r>
        <w:rPr>
          <w:rFonts w:ascii="仿宋_GB2312" w:eastAsia="仿宋_GB2312" w:hAnsi="仿宋_GB2312" w:cs="仿宋_GB2312" w:hint="eastAsia"/>
          <w:color w:val="000000" w:themeColor="text1"/>
          <w:sz w:val="32"/>
          <w:szCs w:val="32"/>
          <w:shd w:val="clear" w:color="auto" w:fill="FFFFFF"/>
        </w:rPr>
        <w:t>4</w:t>
      </w:r>
      <w:r>
        <w:rPr>
          <w:rFonts w:ascii="仿宋_GB2312" w:eastAsia="仿宋_GB2312" w:hAnsi="仿宋_GB2312" w:cs="仿宋_GB2312" w:hint="eastAsia"/>
          <w:color w:val="000000" w:themeColor="text1"/>
          <w:sz w:val="32"/>
          <w:szCs w:val="32"/>
          <w:shd w:val="clear" w:color="auto" w:fill="FFFFFF"/>
        </w:rPr>
        <w:t>条；政府采购信息，定期公开政府采购意向，及时发布招标、中标及成交公告等政府采购信息</w:t>
      </w:r>
      <w:r>
        <w:rPr>
          <w:rFonts w:ascii="仿宋_GB2312" w:eastAsia="仿宋_GB2312" w:hAnsi="仿宋_GB2312" w:cs="仿宋_GB2312" w:hint="eastAsia"/>
          <w:color w:val="000000" w:themeColor="text1"/>
          <w:sz w:val="32"/>
          <w:szCs w:val="32"/>
          <w:shd w:val="clear" w:color="auto" w:fill="FFFFFF"/>
        </w:rPr>
        <w:t>10</w:t>
      </w:r>
      <w:r>
        <w:rPr>
          <w:rFonts w:ascii="仿宋_GB2312" w:eastAsia="仿宋_GB2312" w:hAnsi="仿宋_GB2312" w:cs="仿宋_GB2312" w:hint="eastAsia"/>
          <w:color w:val="000000" w:themeColor="text1"/>
          <w:sz w:val="32"/>
          <w:szCs w:val="32"/>
          <w:shd w:val="clear" w:color="auto" w:fill="FFFFFF"/>
        </w:rPr>
        <w:t>条等。</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楷体_GB2312" w:eastAsia="楷体_GB2312" w:hAnsi="楷体_GB2312" w:cs="楷体_GB2312" w:hint="eastAsia"/>
          <w:color w:val="000000" w:themeColor="text1"/>
          <w:sz w:val="32"/>
          <w:szCs w:val="32"/>
          <w:shd w:val="clear" w:color="auto" w:fill="FFFFFF"/>
        </w:rPr>
        <w:t>（二）依申请公开</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2022</w:t>
      </w:r>
      <w:r>
        <w:rPr>
          <w:rFonts w:ascii="仿宋_GB2312" w:eastAsia="仿宋_GB2312" w:hAnsi="仿宋_GB2312" w:cs="仿宋_GB2312" w:hint="eastAsia"/>
          <w:color w:val="000000" w:themeColor="text1"/>
          <w:sz w:val="32"/>
          <w:szCs w:val="32"/>
          <w:shd w:val="clear" w:color="auto" w:fill="FFFFFF"/>
        </w:rPr>
        <w:t>年我局未收到依申请公开事项，</w:t>
      </w:r>
      <w:r>
        <w:rPr>
          <w:rFonts w:ascii="仿宋_GB2312" w:eastAsia="仿宋_GB2312" w:hAnsi="仿宋_GB2312" w:cs="仿宋_GB2312" w:hint="eastAsia"/>
          <w:color w:val="000000" w:themeColor="text1"/>
          <w:sz w:val="32"/>
          <w:szCs w:val="32"/>
          <w:shd w:val="clear" w:color="auto" w:fill="FFFFFF"/>
        </w:rPr>
        <w:t>2021</w:t>
      </w:r>
      <w:r>
        <w:rPr>
          <w:rFonts w:ascii="仿宋_GB2312" w:eastAsia="仿宋_GB2312" w:hAnsi="仿宋_GB2312" w:cs="仿宋_GB2312" w:hint="eastAsia"/>
          <w:color w:val="000000" w:themeColor="text1"/>
          <w:sz w:val="32"/>
          <w:szCs w:val="32"/>
          <w:shd w:val="clear" w:color="auto" w:fill="FFFFFF"/>
        </w:rPr>
        <w:t>年结转政府信息公开申请数量</w:t>
      </w:r>
      <w:r>
        <w:rPr>
          <w:rFonts w:ascii="仿宋_GB2312" w:eastAsia="仿宋_GB2312" w:hAnsi="仿宋_GB2312" w:cs="仿宋_GB2312" w:hint="eastAsia"/>
          <w:color w:val="000000" w:themeColor="text1"/>
          <w:sz w:val="32"/>
          <w:szCs w:val="32"/>
          <w:shd w:val="clear" w:color="auto" w:fill="FFFFFF"/>
        </w:rPr>
        <w:t>0</w:t>
      </w:r>
      <w:r>
        <w:rPr>
          <w:rFonts w:ascii="仿宋_GB2312" w:eastAsia="仿宋_GB2312" w:hAnsi="仿宋_GB2312" w:cs="仿宋_GB2312" w:hint="eastAsia"/>
          <w:color w:val="000000" w:themeColor="text1"/>
          <w:sz w:val="32"/>
          <w:szCs w:val="32"/>
          <w:shd w:val="clear" w:color="auto" w:fill="FFFFFF"/>
        </w:rPr>
        <w:t>件，未发生因政府信息公开引发的行政复议或诉</w:t>
      </w:r>
      <w:r>
        <w:rPr>
          <w:rFonts w:ascii="仿宋_GB2312" w:eastAsia="仿宋_GB2312" w:hAnsi="仿宋_GB2312" w:cs="仿宋_GB2312" w:hint="eastAsia"/>
          <w:color w:val="000000" w:themeColor="text1"/>
          <w:sz w:val="32"/>
          <w:szCs w:val="32"/>
          <w:shd w:val="clear" w:color="auto" w:fill="FFFFFF"/>
        </w:rPr>
        <w:t>讼案件。</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楷体_GB2312" w:eastAsia="楷体_GB2312" w:hAnsi="楷体_GB2312" w:cs="楷体_GB2312" w:hint="eastAsia"/>
          <w:color w:val="000000" w:themeColor="text1"/>
          <w:sz w:val="32"/>
          <w:szCs w:val="32"/>
          <w:shd w:val="clear" w:color="auto" w:fill="FFFFFF"/>
        </w:rPr>
        <w:t>（三）政府信息管理</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我局严格执行《国家税务总局高安市税务局全面推进政务公开工作实施办法》、《国家税务总局高安市税务局依申请公开工作操作流程》等政务信息公开工作制度，严格执行信息公开审核和办理流程，认真填写《高安市税务局信息公开保密审查登记表》，严格保密审查，做到逐级审批，确保公开事项发布的规范高效。</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楷体_GB2312" w:eastAsia="楷体_GB2312" w:hAnsi="楷体_GB2312" w:cs="楷体_GB2312" w:hint="eastAsia"/>
          <w:color w:val="000000" w:themeColor="text1"/>
          <w:sz w:val="32"/>
          <w:szCs w:val="32"/>
          <w:shd w:val="clear" w:color="auto" w:fill="FFFFFF"/>
        </w:rPr>
        <w:t>（四）政府信息公开</w:t>
      </w:r>
      <w:r>
        <w:rPr>
          <w:rFonts w:ascii="楷体_GB2312" w:eastAsia="楷体_GB2312" w:hAnsi="楷体_GB2312" w:cs="楷体_GB2312" w:hint="eastAsia"/>
          <w:color w:val="000000" w:themeColor="text1"/>
          <w:sz w:val="32"/>
          <w:szCs w:val="32"/>
          <w:shd w:val="clear" w:color="auto" w:fill="FFFFFF"/>
        </w:rPr>
        <w:t>平台建设</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我局充分发挥市局门户网站第一平台作用，严格按照国家税务总局制定的《税收管理领域基层政务公开标准目录》要求，认真做好政策法规、纳税服务、行政执法三大类公开事项的信息公开工作。</w:t>
      </w:r>
      <w:r>
        <w:rPr>
          <w:rFonts w:ascii="仿宋_GB2312" w:eastAsia="仿宋_GB2312" w:hAnsi="仿宋_GB2312" w:cs="仿宋_GB2312" w:hint="eastAsia"/>
          <w:color w:val="000000" w:themeColor="text1"/>
          <w:sz w:val="32"/>
          <w:szCs w:val="32"/>
          <w:shd w:val="clear" w:color="auto" w:fill="FFFFFF"/>
        </w:rPr>
        <w:t>同时，做好了领导简介、机构职能、机构设置、联系方式、人事任免等信息的公开工作。</w:t>
      </w:r>
    </w:p>
    <w:p w:rsidR="00517FC5" w:rsidRDefault="00DF7916">
      <w:pPr>
        <w:pStyle w:val="a5"/>
        <w:widowControl/>
        <w:shd w:val="clear" w:color="auto" w:fill="FFFFFF"/>
        <w:spacing w:beforeAutospacing="0" w:afterAutospacing="0" w:line="600" w:lineRule="exact"/>
        <w:ind w:firstLineChars="200" w:firstLine="640"/>
        <w:jc w:val="both"/>
        <w:rPr>
          <w:rFonts w:ascii="楷体_GB2312" w:eastAsia="楷体_GB2312" w:hAnsi="楷体_GB2312" w:cs="楷体_GB2312"/>
          <w:color w:val="000000" w:themeColor="text1"/>
          <w:sz w:val="32"/>
          <w:szCs w:val="32"/>
          <w:shd w:val="clear" w:color="auto" w:fill="FFFFFF"/>
        </w:rPr>
      </w:pPr>
      <w:r>
        <w:rPr>
          <w:rFonts w:ascii="楷体_GB2312" w:eastAsia="楷体_GB2312" w:hAnsi="楷体_GB2312" w:cs="楷体_GB2312" w:hint="eastAsia"/>
          <w:color w:val="000000" w:themeColor="text1"/>
          <w:sz w:val="32"/>
          <w:szCs w:val="32"/>
          <w:shd w:val="clear" w:color="auto" w:fill="FFFFFF"/>
        </w:rPr>
        <w:t>（五）监督保障</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lastRenderedPageBreak/>
        <w:t>根据工作需要及时调整政务公开工作领导小组，由分管政务公开工作的局领导任组长，相关部门负责人为成员，同时调整政务公开工作领导小组办公室成员，处理日常政务公开工作。加强政府信息公开培训，市局政务公开领导小组成员全员参加总局政务公开网络培训班，并全部通过测试，业务处理能力得到有效提升。</w:t>
      </w:r>
    </w:p>
    <w:p w:rsidR="00517FC5" w:rsidRDefault="00DF7916">
      <w:pPr>
        <w:pStyle w:val="a5"/>
        <w:widowControl/>
        <w:shd w:val="clear" w:color="auto" w:fill="FFFFFF"/>
        <w:spacing w:beforeAutospacing="0" w:afterAutospacing="0" w:line="600" w:lineRule="exact"/>
        <w:ind w:firstLineChars="200" w:firstLine="640"/>
        <w:jc w:val="both"/>
        <w:rPr>
          <w:rFonts w:ascii="宋体" w:eastAsia="宋体" w:hAnsi="宋体" w:cs="宋体"/>
          <w:color w:val="333333"/>
          <w:sz w:val="28"/>
          <w:szCs w:val="28"/>
        </w:rPr>
      </w:pPr>
      <w:r>
        <w:rPr>
          <w:rFonts w:ascii="黑体" w:eastAsia="黑体" w:hAnsi="黑体" w:cs="黑体" w:hint="eastAsia"/>
          <w:kern w:val="2"/>
          <w:sz w:val="32"/>
          <w:szCs w:val="32"/>
          <w:shd w:val="clear" w:color="auto" w:fill="FFFFFF"/>
        </w:rPr>
        <w:t>二、主动公开政府信息情况</w:t>
      </w:r>
    </w:p>
    <w:tbl>
      <w:tblPr>
        <w:tblW w:w="9740" w:type="dxa"/>
        <w:jc w:val="center"/>
        <w:tblCellMar>
          <w:left w:w="0" w:type="dxa"/>
          <w:right w:w="0" w:type="dxa"/>
        </w:tblCellMar>
        <w:tblLook w:val="04A0"/>
      </w:tblPr>
      <w:tblGrid>
        <w:gridCol w:w="2435"/>
        <w:gridCol w:w="2435"/>
        <w:gridCol w:w="2435"/>
        <w:gridCol w:w="2435"/>
      </w:tblGrid>
      <w:tr w:rsidR="00517FC5">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第二十条第（一）项</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信息内容</w:t>
            </w:r>
          </w:p>
        </w:tc>
        <w:tc>
          <w:tcPr>
            <w:tcW w:w="243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本年</w:t>
            </w:r>
            <w:r>
              <w:rPr>
                <w:rFonts w:ascii="仿宋_GB2312" w:eastAsia="仿宋_GB2312" w:hAnsi="仿宋_GB2312" w:cs="仿宋_GB2312" w:hint="eastAsia"/>
                <w:kern w:val="0"/>
                <w:sz w:val="28"/>
                <w:szCs w:val="28"/>
                <w:lang/>
              </w:rPr>
              <w:t>制发件数</w:t>
            </w:r>
          </w:p>
        </w:tc>
        <w:tc>
          <w:tcPr>
            <w:tcW w:w="243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本年废止件数</w:t>
            </w:r>
          </w:p>
        </w:tc>
        <w:tc>
          <w:tcPr>
            <w:tcW w:w="243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现行有效件</w:t>
            </w:r>
            <w:r>
              <w:rPr>
                <w:rFonts w:ascii="仿宋_GB2312" w:eastAsia="仿宋_GB2312" w:hAnsi="仿宋_GB2312" w:cs="仿宋_GB2312" w:hint="eastAsia"/>
                <w:kern w:val="0"/>
                <w:sz w:val="28"/>
                <w:szCs w:val="28"/>
                <w:lang/>
              </w:rPr>
              <w:t>数</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规章</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行政规范性文件</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第二十条第（五）项</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信息内容</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本年处理决定数量</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行政许可</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9037</w:t>
            </w:r>
          </w:p>
        </w:tc>
      </w:tr>
      <w:tr w:rsidR="00517FC5">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第二十条第（六）项</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信息内容</w:t>
            </w:r>
          </w:p>
        </w:tc>
        <w:tc>
          <w:tcPr>
            <w:tcW w:w="7305" w:type="dxa"/>
            <w:gridSpan w:val="3"/>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本年处理决定数量</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行政处罚</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3171</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行政强制</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0</w:t>
            </w:r>
          </w:p>
        </w:tc>
      </w:tr>
      <w:tr w:rsidR="00517FC5">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第二十条第（八）项</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信息内容</w:t>
            </w:r>
          </w:p>
        </w:tc>
        <w:tc>
          <w:tcPr>
            <w:tcW w:w="730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本年收费金额（单位：万元）</w:t>
            </w:r>
          </w:p>
        </w:tc>
      </w:tr>
      <w:tr w:rsidR="00517FC5">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行政事业性收费</w:t>
            </w:r>
          </w:p>
        </w:tc>
        <w:tc>
          <w:tcPr>
            <w:tcW w:w="730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517FC5" w:rsidRDefault="00DF7916">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r>
    </w:tbl>
    <w:p w:rsidR="00517FC5" w:rsidRDefault="00517FC5">
      <w:pPr>
        <w:widowControl/>
        <w:spacing w:line="600" w:lineRule="exact"/>
        <w:ind w:firstLineChars="200" w:firstLine="640"/>
        <w:rPr>
          <w:rFonts w:ascii="黑体" w:eastAsia="黑体" w:hAnsi="黑体" w:cs="黑体"/>
          <w:sz w:val="32"/>
          <w:szCs w:val="32"/>
          <w:shd w:val="clear" w:color="auto" w:fill="FFFFFF"/>
        </w:rPr>
      </w:pPr>
    </w:p>
    <w:p w:rsidR="00517FC5" w:rsidRDefault="00DF7916">
      <w:pPr>
        <w:pStyle w:val="a5"/>
        <w:widowControl/>
        <w:shd w:val="clear" w:color="auto" w:fill="FFFFFF"/>
        <w:spacing w:beforeAutospacing="0" w:afterAutospacing="0" w:line="600" w:lineRule="exact"/>
        <w:ind w:firstLineChars="200" w:firstLine="640"/>
        <w:jc w:val="both"/>
        <w:rPr>
          <w:rFonts w:ascii="宋体" w:eastAsia="宋体" w:hAnsi="宋体" w:cs="宋体"/>
          <w:color w:val="333333"/>
          <w:sz w:val="28"/>
          <w:szCs w:val="28"/>
        </w:rPr>
      </w:pPr>
      <w:r>
        <w:rPr>
          <w:rFonts w:ascii="黑体" w:eastAsia="黑体" w:hAnsi="黑体" w:cs="黑体" w:hint="eastAsia"/>
          <w:kern w:val="2"/>
          <w:sz w:val="32"/>
          <w:szCs w:val="32"/>
          <w:shd w:val="clear" w:color="auto" w:fill="FFFFFF"/>
        </w:rPr>
        <w:lastRenderedPageBreak/>
        <w:t>三、收到和处理政府信息公开申请情况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tblPr>
      <w:tblGrid>
        <w:gridCol w:w="775"/>
        <w:gridCol w:w="959"/>
        <w:gridCol w:w="3191"/>
        <w:gridCol w:w="689"/>
        <w:gridCol w:w="689"/>
        <w:gridCol w:w="689"/>
        <w:gridCol w:w="689"/>
        <w:gridCol w:w="689"/>
        <w:gridCol w:w="689"/>
        <w:gridCol w:w="689"/>
      </w:tblGrid>
      <w:tr w:rsidR="00517FC5">
        <w:trPr>
          <w:jc w:val="center"/>
        </w:trPr>
        <w:tc>
          <w:tcPr>
            <w:tcW w:w="4925" w:type="dxa"/>
            <w:gridSpan w:val="3"/>
            <w:vMerge w:val="restart"/>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（本列数据的勾稽关系为：第一项加第二项之和，等于第三项加第四项之和）</w:t>
            </w:r>
          </w:p>
        </w:tc>
        <w:tc>
          <w:tcPr>
            <w:tcW w:w="4823" w:type="dxa"/>
            <w:gridSpan w:val="7"/>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申请人情况</w:t>
            </w:r>
          </w:p>
        </w:tc>
      </w:tr>
      <w:tr w:rsidR="00517FC5">
        <w:trPr>
          <w:jc w:val="center"/>
        </w:trPr>
        <w:tc>
          <w:tcPr>
            <w:tcW w:w="4925"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89" w:type="dxa"/>
            <w:vMerge w:val="restart"/>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自然人</w:t>
            </w:r>
          </w:p>
        </w:tc>
        <w:tc>
          <w:tcPr>
            <w:tcW w:w="3445"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法人或其他组织</w:t>
            </w:r>
          </w:p>
        </w:tc>
        <w:tc>
          <w:tcPr>
            <w:tcW w:w="689" w:type="dxa"/>
            <w:vMerge w:val="restart"/>
            <w:tcBorders>
              <w:top w:val="single" w:sz="8" w:space="0" w:color="auto"/>
              <w:left w:val="nil"/>
              <w:bottom w:val="outset"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总计</w:t>
            </w:r>
          </w:p>
        </w:tc>
      </w:tr>
      <w:tr w:rsidR="00517FC5">
        <w:trPr>
          <w:jc w:val="center"/>
        </w:trPr>
        <w:tc>
          <w:tcPr>
            <w:tcW w:w="4925"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89" w:type="dxa"/>
            <w:vMerge/>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商业</w:t>
            </w:r>
          </w:p>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企业</w:t>
            </w:r>
          </w:p>
        </w:tc>
        <w:tc>
          <w:tcPr>
            <w:tcW w:w="689" w:type="dxa"/>
            <w:tcBorders>
              <w:top w:val="nil"/>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科研</w:t>
            </w:r>
          </w:p>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机构</w:t>
            </w:r>
          </w:p>
        </w:tc>
        <w:tc>
          <w:tcPr>
            <w:tcW w:w="68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社会公益组织</w:t>
            </w:r>
          </w:p>
        </w:tc>
        <w:tc>
          <w:tcPr>
            <w:tcW w:w="68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法律服务机构</w:t>
            </w:r>
          </w:p>
        </w:tc>
        <w:tc>
          <w:tcPr>
            <w:tcW w:w="689"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其他</w:t>
            </w:r>
          </w:p>
        </w:tc>
        <w:tc>
          <w:tcPr>
            <w:tcW w:w="689" w:type="dxa"/>
            <w:vMerge/>
            <w:tcBorders>
              <w:top w:val="single" w:sz="8" w:space="0" w:color="auto"/>
              <w:left w:val="nil"/>
              <w:bottom w:val="outset"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r>
      <w:tr w:rsidR="00517FC5">
        <w:trPr>
          <w:jc w:val="center"/>
        </w:trPr>
        <w:tc>
          <w:tcPr>
            <w:tcW w:w="4925"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一、本年新收政府信息公开申请数量</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4925"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二、上年结转政府信息公开申请数量</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val="restart"/>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三、本年度办理结果</w:t>
            </w:r>
          </w:p>
        </w:tc>
        <w:tc>
          <w:tcPr>
            <w:tcW w:w="415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（一）予以公开</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415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（二）部分公开（区分处理的，只计这一情形，不计其他情形）</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（三）不予公开</w:t>
            </w: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1.</w:t>
            </w:r>
            <w:r>
              <w:rPr>
                <w:rFonts w:ascii="仿宋_GB2312" w:eastAsia="仿宋_GB2312" w:hAnsi="仿宋_GB2312" w:cs="仿宋_GB2312" w:hint="eastAsia"/>
                <w:kern w:val="0"/>
                <w:sz w:val="28"/>
                <w:szCs w:val="28"/>
                <w:lang/>
              </w:rPr>
              <w:t>属于国家秘密</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2.</w:t>
            </w:r>
            <w:r>
              <w:rPr>
                <w:rFonts w:ascii="仿宋_GB2312" w:eastAsia="仿宋_GB2312" w:hAnsi="仿宋_GB2312" w:cs="仿宋_GB2312" w:hint="eastAsia"/>
                <w:kern w:val="0"/>
                <w:sz w:val="28"/>
                <w:szCs w:val="28"/>
                <w:lang/>
              </w:rPr>
              <w:t>其他法律行政法规禁止公开</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3.</w:t>
            </w:r>
            <w:r>
              <w:rPr>
                <w:rFonts w:ascii="仿宋_GB2312" w:eastAsia="仿宋_GB2312" w:hAnsi="仿宋_GB2312" w:cs="仿宋_GB2312" w:hint="eastAsia"/>
                <w:kern w:val="0"/>
                <w:sz w:val="28"/>
                <w:szCs w:val="28"/>
                <w:lang/>
              </w:rPr>
              <w:t>危及“三安全一稳定”</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4.</w:t>
            </w:r>
            <w:r>
              <w:rPr>
                <w:rFonts w:ascii="仿宋_GB2312" w:eastAsia="仿宋_GB2312" w:hAnsi="仿宋_GB2312" w:cs="仿宋_GB2312" w:hint="eastAsia"/>
                <w:kern w:val="0"/>
                <w:sz w:val="28"/>
                <w:szCs w:val="28"/>
                <w:lang/>
              </w:rPr>
              <w:t>保护第三方合法权益</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5.</w:t>
            </w:r>
            <w:r>
              <w:rPr>
                <w:rFonts w:ascii="仿宋_GB2312" w:eastAsia="仿宋_GB2312" w:hAnsi="仿宋_GB2312" w:cs="仿宋_GB2312" w:hint="eastAsia"/>
                <w:kern w:val="0"/>
                <w:sz w:val="28"/>
                <w:szCs w:val="28"/>
                <w:lang/>
              </w:rPr>
              <w:t>属于三类内部事务信息</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6.</w:t>
            </w:r>
            <w:r>
              <w:rPr>
                <w:rFonts w:ascii="仿宋_GB2312" w:eastAsia="仿宋_GB2312" w:hAnsi="仿宋_GB2312" w:cs="仿宋_GB2312" w:hint="eastAsia"/>
                <w:kern w:val="0"/>
                <w:sz w:val="28"/>
                <w:szCs w:val="28"/>
                <w:lang/>
              </w:rPr>
              <w:t>属于四类过程性信息</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7.</w:t>
            </w:r>
            <w:r>
              <w:rPr>
                <w:rFonts w:ascii="仿宋_GB2312" w:eastAsia="仿宋_GB2312" w:hAnsi="仿宋_GB2312" w:cs="仿宋_GB2312" w:hint="eastAsia"/>
                <w:kern w:val="0"/>
                <w:sz w:val="28"/>
                <w:szCs w:val="28"/>
                <w:lang/>
              </w:rPr>
              <w:t>属于行政执法案卷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8.</w:t>
            </w:r>
            <w:r>
              <w:rPr>
                <w:rFonts w:ascii="仿宋_GB2312" w:eastAsia="仿宋_GB2312" w:hAnsi="仿宋_GB2312" w:cs="仿宋_GB2312" w:hint="eastAsia"/>
                <w:kern w:val="0"/>
                <w:sz w:val="28"/>
                <w:szCs w:val="28"/>
                <w:lang/>
              </w:rPr>
              <w:t>属于行政查询事项</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（四）无法提供</w:t>
            </w: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1.</w:t>
            </w:r>
            <w:r>
              <w:rPr>
                <w:rFonts w:ascii="仿宋_GB2312" w:eastAsia="仿宋_GB2312" w:hAnsi="仿宋_GB2312" w:cs="仿宋_GB2312" w:hint="eastAsia"/>
                <w:kern w:val="0"/>
                <w:sz w:val="28"/>
                <w:szCs w:val="28"/>
                <w:lang/>
              </w:rPr>
              <w:t>本机关不掌握相关政府信息</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2.</w:t>
            </w:r>
            <w:r>
              <w:rPr>
                <w:rFonts w:ascii="仿宋_GB2312" w:eastAsia="仿宋_GB2312" w:hAnsi="仿宋_GB2312" w:cs="仿宋_GB2312" w:hint="eastAsia"/>
                <w:kern w:val="0"/>
                <w:sz w:val="28"/>
                <w:szCs w:val="28"/>
                <w:lang/>
              </w:rPr>
              <w:t>没有现成信息需要另行制作</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3.</w:t>
            </w:r>
            <w:r>
              <w:rPr>
                <w:rFonts w:ascii="仿宋_GB2312" w:eastAsia="仿宋_GB2312" w:hAnsi="仿宋_GB2312" w:cs="仿宋_GB2312" w:hint="eastAsia"/>
                <w:kern w:val="0"/>
                <w:sz w:val="28"/>
                <w:szCs w:val="28"/>
                <w:lang/>
              </w:rPr>
              <w:t>补正后申请内容仍不明确</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（五）不予处理</w:t>
            </w: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1.</w:t>
            </w:r>
            <w:r>
              <w:rPr>
                <w:rFonts w:ascii="仿宋_GB2312" w:eastAsia="仿宋_GB2312" w:hAnsi="仿宋_GB2312" w:cs="仿宋_GB2312" w:hint="eastAsia"/>
                <w:kern w:val="0"/>
                <w:sz w:val="28"/>
                <w:szCs w:val="28"/>
                <w:lang/>
              </w:rPr>
              <w:t>信访举报投诉类申请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2.</w:t>
            </w:r>
            <w:r>
              <w:rPr>
                <w:rFonts w:ascii="仿宋_GB2312" w:eastAsia="仿宋_GB2312" w:hAnsi="仿宋_GB2312" w:cs="仿宋_GB2312" w:hint="eastAsia"/>
                <w:kern w:val="0"/>
                <w:sz w:val="28"/>
                <w:szCs w:val="28"/>
                <w:lang/>
              </w:rPr>
              <w:t>重复申请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3.</w:t>
            </w:r>
            <w:r>
              <w:rPr>
                <w:rFonts w:ascii="仿宋_GB2312" w:eastAsia="仿宋_GB2312" w:hAnsi="仿宋_GB2312" w:cs="仿宋_GB2312" w:hint="eastAsia"/>
                <w:kern w:val="0"/>
                <w:sz w:val="28"/>
                <w:szCs w:val="28"/>
                <w:lang/>
              </w:rPr>
              <w:t>要求提供公开出版物</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4.</w:t>
            </w:r>
            <w:r>
              <w:rPr>
                <w:rFonts w:ascii="仿宋_GB2312" w:eastAsia="仿宋_GB2312" w:hAnsi="仿宋_GB2312" w:cs="仿宋_GB2312" w:hint="eastAsia"/>
                <w:kern w:val="0"/>
                <w:sz w:val="28"/>
                <w:szCs w:val="28"/>
                <w:lang/>
              </w:rPr>
              <w:t>无正当理由大量反复申请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trHeight w:val="779"/>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5.</w:t>
            </w:r>
            <w:r>
              <w:rPr>
                <w:rFonts w:ascii="仿宋_GB2312" w:eastAsia="仿宋_GB2312" w:hAnsi="仿宋_GB2312" w:cs="仿宋_GB2312" w:hint="eastAsia"/>
                <w:kern w:val="0"/>
                <w:sz w:val="28"/>
                <w:szCs w:val="28"/>
                <w:lang/>
              </w:rPr>
              <w:t>要求行政机关确认或重新出具已获取信息</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val="restart"/>
            <w:tcBorders>
              <w:top w:val="outset" w:sz="8" w:space="0" w:color="auto"/>
              <w:left w:val="nil"/>
              <w:bottom w:val="outset"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（六）其他处理</w:t>
            </w:r>
          </w:p>
        </w:tc>
        <w:tc>
          <w:tcPr>
            <w:tcW w:w="3191"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1.</w:t>
            </w:r>
            <w:r>
              <w:rPr>
                <w:rFonts w:ascii="仿宋_GB2312" w:eastAsia="仿宋_GB2312" w:hAnsi="仿宋_GB2312" w:cs="仿宋_GB2312" w:hint="eastAsia"/>
                <w:kern w:val="0"/>
                <w:sz w:val="28"/>
                <w:szCs w:val="28"/>
                <w:lang/>
              </w:rPr>
              <w:t>申请人无正当理由逾期不补正、行政机关不再处理其政府信息公开申请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outset" w:sz="8" w:space="0" w:color="auto"/>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2.</w:t>
            </w:r>
            <w:r>
              <w:rPr>
                <w:rFonts w:ascii="仿宋_GB2312" w:eastAsia="仿宋_GB2312" w:hAnsi="仿宋_GB2312" w:cs="仿宋_GB2312" w:hint="eastAsia"/>
                <w:kern w:val="0"/>
                <w:sz w:val="28"/>
                <w:szCs w:val="28"/>
                <w:lang/>
              </w:rPr>
              <w:t>申请人逾期未按收费</w:t>
            </w:r>
            <w:r>
              <w:rPr>
                <w:rFonts w:ascii="仿宋_GB2312" w:eastAsia="仿宋_GB2312" w:hAnsi="仿宋_GB2312" w:cs="仿宋_GB2312" w:hint="eastAsia"/>
                <w:kern w:val="0"/>
                <w:sz w:val="28"/>
                <w:szCs w:val="28"/>
                <w:lang/>
              </w:rPr>
              <w:lastRenderedPageBreak/>
              <w:t>通知要求缴纳费用、行政机关不再处理其政府信息公开申请</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lastRenderedPageBreak/>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959" w:type="dxa"/>
            <w:vMerge/>
            <w:tcBorders>
              <w:top w:val="outset" w:sz="8" w:space="0" w:color="auto"/>
              <w:left w:val="nil"/>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3191"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3.</w:t>
            </w:r>
            <w:r>
              <w:rPr>
                <w:rFonts w:ascii="仿宋_GB2312" w:eastAsia="仿宋_GB2312" w:hAnsi="仿宋_GB2312" w:cs="仿宋_GB2312" w:hint="eastAsia"/>
                <w:kern w:val="0"/>
                <w:sz w:val="28"/>
                <w:szCs w:val="28"/>
                <w:lang/>
              </w:rPr>
              <w:t>其他</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775"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517FC5" w:rsidRDefault="00517FC5">
            <w:pPr>
              <w:rPr>
                <w:rFonts w:ascii="仿宋_GB2312" w:eastAsia="仿宋_GB2312" w:hAnsi="仿宋_GB2312" w:cs="仿宋_GB2312"/>
                <w:sz w:val="28"/>
                <w:szCs w:val="28"/>
              </w:rPr>
            </w:pPr>
          </w:p>
        </w:tc>
        <w:tc>
          <w:tcPr>
            <w:tcW w:w="415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（七）总计</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r w:rsidR="00517FC5">
        <w:trPr>
          <w:jc w:val="center"/>
        </w:trPr>
        <w:tc>
          <w:tcPr>
            <w:tcW w:w="4925"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四、结转下年度继续办理</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89" w:type="dxa"/>
            <w:tcBorders>
              <w:top w:val="nil"/>
              <w:left w:val="nil"/>
              <w:bottom w:val="single" w:sz="8" w:space="0" w:color="auto"/>
              <w:right w:val="single" w:sz="8" w:space="0" w:color="auto"/>
            </w:tcBorders>
            <w:shd w:val="clear" w:color="auto" w:fill="auto"/>
            <w:tcMar>
              <w:left w:w="57" w:type="dxa"/>
              <w:right w:w="57"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r>
    </w:tbl>
    <w:p w:rsidR="00517FC5" w:rsidRDefault="00517FC5">
      <w:pPr>
        <w:widowControl/>
        <w:shd w:val="clear" w:color="auto" w:fill="FFFFFF"/>
        <w:spacing w:line="600" w:lineRule="exact"/>
        <w:ind w:firstLineChars="200" w:firstLine="560"/>
        <w:rPr>
          <w:rFonts w:ascii="宋体" w:eastAsia="宋体" w:hAnsi="宋体" w:cs="宋体"/>
          <w:color w:val="333333"/>
          <w:sz w:val="28"/>
          <w:szCs w:val="28"/>
        </w:rPr>
      </w:pPr>
    </w:p>
    <w:p w:rsidR="00517FC5" w:rsidRDefault="00DF7916">
      <w:pPr>
        <w:pStyle w:val="a5"/>
        <w:widowControl/>
        <w:shd w:val="clear" w:color="auto" w:fill="FFFFFF"/>
        <w:spacing w:beforeAutospacing="0" w:afterAutospacing="0" w:line="600" w:lineRule="exact"/>
        <w:ind w:firstLineChars="200" w:firstLine="640"/>
        <w:jc w:val="both"/>
        <w:rPr>
          <w:rFonts w:ascii="宋体" w:eastAsia="宋体" w:hAnsi="宋体" w:cs="宋体"/>
          <w:color w:val="333333"/>
          <w:sz w:val="28"/>
          <w:szCs w:val="28"/>
        </w:rPr>
      </w:pPr>
      <w:r>
        <w:rPr>
          <w:rFonts w:ascii="黑体" w:eastAsia="黑体" w:hAnsi="黑体" w:cs="黑体" w:hint="eastAsia"/>
          <w:kern w:val="2"/>
          <w:sz w:val="32"/>
          <w:szCs w:val="32"/>
          <w:shd w:val="clear" w:color="auto" w:fill="FFFFFF"/>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tblPr>
      <w:tblGrid>
        <w:gridCol w:w="650"/>
        <w:gridCol w:w="650"/>
        <w:gridCol w:w="650"/>
        <w:gridCol w:w="650"/>
        <w:gridCol w:w="650"/>
        <w:gridCol w:w="649"/>
        <w:gridCol w:w="649"/>
        <w:gridCol w:w="650"/>
        <w:gridCol w:w="650"/>
        <w:gridCol w:w="650"/>
        <w:gridCol w:w="650"/>
        <w:gridCol w:w="650"/>
        <w:gridCol w:w="650"/>
        <w:gridCol w:w="650"/>
        <w:gridCol w:w="650"/>
      </w:tblGrid>
      <w:tr w:rsidR="00517FC5">
        <w:trPr>
          <w:jc w:val="center"/>
        </w:trPr>
        <w:tc>
          <w:tcPr>
            <w:tcW w:w="3210"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行政复议</w:t>
            </w:r>
          </w:p>
        </w:tc>
        <w:tc>
          <w:tcPr>
            <w:tcW w:w="6428" w:type="dxa"/>
            <w:gridSpan w:val="10"/>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行政诉讼</w:t>
            </w:r>
          </w:p>
        </w:tc>
      </w:tr>
      <w:tr w:rsidR="00517FC5">
        <w:trPr>
          <w:jc w:val="center"/>
        </w:trPr>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结果维持</w:t>
            </w:r>
          </w:p>
        </w:tc>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纠正</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其他</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结果</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尚未</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审结</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总计</w:t>
            </w:r>
          </w:p>
        </w:tc>
        <w:tc>
          <w:tcPr>
            <w:tcW w:w="3213"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复议后起诉</w:t>
            </w:r>
          </w:p>
        </w:tc>
      </w:tr>
      <w:tr w:rsidR="00517FC5">
        <w:trPr>
          <w:jc w:val="center"/>
        </w:trPr>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517FC5">
            <w:pPr>
              <w:rPr>
                <w:rFonts w:ascii="仿宋_GB2312" w:eastAsia="仿宋_GB2312" w:hAnsi="仿宋_GB2312" w:cs="仿宋_GB2312"/>
                <w:sz w:val="28"/>
                <w:szCs w:val="28"/>
              </w:rPr>
            </w:pP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维持</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其他</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尚未</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总计</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维持</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结果</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其他</w:t>
            </w:r>
            <w:r>
              <w:rPr>
                <w:rFonts w:ascii="仿宋_GB2312" w:eastAsia="仿宋_GB2312" w:hAnsi="仿宋_GB2312" w:cs="仿宋_GB2312" w:hint="eastAsia"/>
                <w:color w:val="000000"/>
                <w:kern w:val="0"/>
                <w:sz w:val="28"/>
                <w:szCs w:val="28"/>
                <w:lang/>
              </w:rPr>
              <w:br/>
            </w:r>
            <w:r>
              <w:rPr>
                <w:rFonts w:ascii="仿宋_GB2312" w:eastAsia="仿宋_GB2312" w:hAnsi="仿宋_GB2312" w:cs="仿宋_GB2312" w:hint="eastAsia"/>
                <w:color w:val="000000"/>
                <w:kern w:val="0"/>
                <w:sz w:val="28"/>
                <w:szCs w:val="28"/>
                <w:lang/>
              </w:rP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尚未</w:t>
            </w:r>
            <w:r>
              <w:rPr>
                <w:rFonts w:ascii="仿宋_GB2312" w:eastAsia="仿宋_GB2312" w:hAnsi="仿宋_GB2312" w:cs="仿宋_GB2312" w:hint="eastAsia"/>
                <w:kern w:val="0"/>
                <w:sz w:val="28"/>
                <w:szCs w:val="28"/>
                <w:lang/>
              </w:rPr>
              <w:br/>
            </w:r>
            <w:r>
              <w:rPr>
                <w:rFonts w:ascii="仿宋_GB2312" w:eastAsia="仿宋_GB2312" w:hAnsi="仿宋_GB2312" w:cs="仿宋_GB2312" w:hint="eastAsia"/>
                <w:kern w:val="0"/>
                <w:sz w:val="28"/>
                <w:szCs w:val="28"/>
                <w:lang/>
              </w:rP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lang/>
              </w:rPr>
              <w:t>总计</w:t>
            </w:r>
          </w:p>
        </w:tc>
      </w:tr>
      <w:tr w:rsidR="00517FC5">
        <w:trPr>
          <w:trHeight w:val="672"/>
          <w:jc w:val="center"/>
        </w:trPr>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widowControl/>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17FC5" w:rsidRDefault="00DF7916">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0</w:t>
            </w:r>
          </w:p>
        </w:tc>
      </w:tr>
    </w:tbl>
    <w:p w:rsidR="00517FC5" w:rsidRDefault="00517FC5">
      <w:pPr>
        <w:pStyle w:val="a5"/>
        <w:widowControl/>
        <w:shd w:val="clear" w:color="auto" w:fill="FFFFFF"/>
        <w:spacing w:beforeAutospacing="0" w:afterAutospacing="0" w:line="600" w:lineRule="exact"/>
        <w:ind w:firstLineChars="200" w:firstLine="640"/>
        <w:jc w:val="both"/>
        <w:rPr>
          <w:rFonts w:ascii="黑体" w:eastAsia="黑体" w:hAnsi="黑体" w:cs="黑体"/>
          <w:kern w:val="2"/>
          <w:sz w:val="32"/>
          <w:szCs w:val="32"/>
          <w:shd w:val="clear" w:color="auto" w:fill="FFFFFF"/>
        </w:rPr>
      </w:pPr>
    </w:p>
    <w:p w:rsidR="00517FC5" w:rsidRDefault="00DF7916">
      <w:pPr>
        <w:pStyle w:val="a5"/>
        <w:widowControl/>
        <w:shd w:val="clear" w:color="auto" w:fill="FFFFFF"/>
        <w:spacing w:beforeAutospacing="0" w:afterAutospacing="0" w:line="600" w:lineRule="exact"/>
        <w:ind w:firstLineChars="200" w:firstLine="640"/>
        <w:jc w:val="both"/>
        <w:rPr>
          <w:rFonts w:ascii="黑体" w:eastAsia="黑体" w:hAnsi="黑体" w:cs="黑体"/>
          <w:kern w:val="2"/>
          <w:sz w:val="32"/>
          <w:szCs w:val="32"/>
          <w:shd w:val="clear" w:color="auto" w:fill="FFFFFF"/>
        </w:rPr>
      </w:pPr>
      <w:r>
        <w:rPr>
          <w:rFonts w:ascii="黑体" w:eastAsia="黑体" w:hAnsi="黑体" w:cs="黑体" w:hint="eastAsia"/>
          <w:kern w:val="2"/>
          <w:sz w:val="32"/>
          <w:szCs w:val="32"/>
          <w:shd w:val="clear" w:color="auto" w:fill="FFFFFF"/>
        </w:rPr>
        <w:t>五、存在的主要问题及改进情况</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根据《国家税务总局江西省税务局办公室关于做好政务公开问题整改工作的通知》要求，通过对照问题清单，我局政务公开存在的主要问题有两个方面：一是基层政务公开内容的更新不及时；二是机构信息公开要素不完整。</w:t>
      </w:r>
    </w:p>
    <w:p w:rsidR="00517FC5" w:rsidRDefault="00DF7916">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lastRenderedPageBreak/>
        <w:t>针对上述问题，我局制定了具体的整改措施，并认真抓好了整改落实。一是健全政务公开制度机制，有针对性地补短板强弱项，进一步提升政务公开工作水平；二是加强与法规、征管、纳服等部门的统筹协调，形成工作合力，确保政务公开各项任务落到实处、见到实效。</w:t>
      </w:r>
    </w:p>
    <w:p w:rsidR="00517FC5" w:rsidRDefault="00DF7916">
      <w:pPr>
        <w:pStyle w:val="a5"/>
        <w:widowControl/>
        <w:shd w:val="clear" w:color="auto" w:fill="FFFFFF"/>
        <w:spacing w:beforeAutospacing="0" w:afterAutospacing="0" w:line="600" w:lineRule="exact"/>
        <w:ind w:firstLineChars="200" w:firstLine="640"/>
        <w:jc w:val="both"/>
        <w:rPr>
          <w:rFonts w:ascii="黑体" w:eastAsia="黑体" w:hAnsi="黑体" w:cs="黑体"/>
          <w:kern w:val="2"/>
          <w:sz w:val="32"/>
          <w:szCs w:val="32"/>
          <w:shd w:val="clear" w:color="auto" w:fill="FFFFFF"/>
        </w:rPr>
      </w:pPr>
      <w:r>
        <w:rPr>
          <w:rFonts w:ascii="黑体" w:eastAsia="黑体" w:hAnsi="黑体" w:cs="黑体" w:hint="eastAsia"/>
          <w:kern w:val="2"/>
          <w:sz w:val="32"/>
          <w:szCs w:val="32"/>
          <w:shd w:val="clear" w:color="auto" w:fill="FFFFFF"/>
        </w:rPr>
        <w:t>六、其他需要报告的事项</w:t>
      </w:r>
    </w:p>
    <w:p w:rsidR="00517FC5" w:rsidRDefault="00CE1EF0" w:rsidP="00CE1EF0">
      <w:pPr>
        <w:ind w:firstLineChars="200" w:firstLine="600"/>
        <w:rPr>
          <w:rFonts w:ascii="仿宋_GB2312" w:eastAsia="仿宋_GB2312" w:hAnsi="仿宋_GB2312" w:cs="仿宋_GB2312"/>
          <w:sz w:val="32"/>
          <w:szCs w:val="32"/>
        </w:rPr>
      </w:pPr>
      <w:r w:rsidRPr="00CE1EF0">
        <w:rPr>
          <w:rFonts w:ascii="仿宋_GB2312" w:eastAsia="仿宋_GB2312" w:hAnsi="微软雅黑" w:hint="eastAsia"/>
          <w:color w:val="171A1D"/>
          <w:sz w:val="30"/>
          <w:szCs w:val="30"/>
          <w:shd w:val="clear" w:color="auto" w:fill="FFFFFF"/>
        </w:rPr>
        <w:t>2022年度，本机关无收取信息处理费情况。</w:t>
      </w:r>
    </w:p>
    <w:bookmarkEnd w:id="0"/>
    <w:p w:rsidR="00517FC5" w:rsidRDefault="00517FC5"/>
    <w:sectPr w:rsidR="00517FC5" w:rsidSect="00517F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916" w:rsidRDefault="00DF7916" w:rsidP="00CE1EF0">
      <w:pPr>
        <w:ind w:firstLine="640"/>
      </w:pPr>
      <w:r>
        <w:separator/>
      </w:r>
    </w:p>
  </w:endnote>
  <w:endnote w:type="continuationSeparator" w:id="1">
    <w:p w:rsidR="00DF7916" w:rsidRDefault="00DF7916" w:rsidP="00CE1EF0">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916" w:rsidRDefault="00DF7916" w:rsidP="00CE1EF0">
      <w:pPr>
        <w:ind w:firstLine="640"/>
      </w:pPr>
      <w:r>
        <w:separator/>
      </w:r>
    </w:p>
  </w:footnote>
  <w:footnote w:type="continuationSeparator" w:id="1">
    <w:p w:rsidR="00DF7916" w:rsidRDefault="00DF7916" w:rsidP="00CE1EF0">
      <w:pPr>
        <w:ind w:firstLine="6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D2B2F50"/>
    <w:rsid w:val="002F2E08"/>
    <w:rsid w:val="00517FC5"/>
    <w:rsid w:val="00CE1EF0"/>
    <w:rsid w:val="00DF7916"/>
    <w:rsid w:val="04157148"/>
    <w:rsid w:val="042A7355"/>
    <w:rsid w:val="069A71DE"/>
    <w:rsid w:val="0A743E52"/>
    <w:rsid w:val="0C63307A"/>
    <w:rsid w:val="0EAC4C2D"/>
    <w:rsid w:val="0F1C3B15"/>
    <w:rsid w:val="0FF159D4"/>
    <w:rsid w:val="102B5744"/>
    <w:rsid w:val="10C10437"/>
    <w:rsid w:val="10FE14FB"/>
    <w:rsid w:val="135B3D11"/>
    <w:rsid w:val="18196BF2"/>
    <w:rsid w:val="1A9C2C4C"/>
    <w:rsid w:val="1BAB5DC0"/>
    <w:rsid w:val="1CD672F2"/>
    <w:rsid w:val="207350CF"/>
    <w:rsid w:val="236F1D5F"/>
    <w:rsid w:val="267D3E68"/>
    <w:rsid w:val="27581FAF"/>
    <w:rsid w:val="2E1C23CF"/>
    <w:rsid w:val="2E467971"/>
    <w:rsid w:val="2E667E0D"/>
    <w:rsid w:val="328B2917"/>
    <w:rsid w:val="33B91C9C"/>
    <w:rsid w:val="346B3A7F"/>
    <w:rsid w:val="359060F2"/>
    <w:rsid w:val="36DF6193"/>
    <w:rsid w:val="3DB27EEA"/>
    <w:rsid w:val="3E4655DE"/>
    <w:rsid w:val="3F166A31"/>
    <w:rsid w:val="41936258"/>
    <w:rsid w:val="42F654BE"/>
    <w:rsid w:val="49CD1D3D"/>
    <w:rsid w:val="4D0B066B"/>
    <w:rsid w:val="4EF0196C"/>
    <w:rsid w:val="52021429"/>
    <w:rsid w:val="536F2437"/>
    <w:rsid w:val="540E68AE"/>
    <w:rsid w:val="56993E0C"/>
    <w:rsid w:val="5BE00589"/>
    <w:rsid w:val="5D6303C1"/>
    <w:rsid w:val="5EEF4AC6"/>
    <w:rsid w:val="5F3311A1"/>
    <w:rsid w:val="60647931"/>
    <w:rsid w:val="640C4D66"/>
    <w:rsid w:val="6B705840"/>
    <w:rsid w:val="6D8524B0"/>
    <w:rsid w:val="6F652DD8"/>
    <w:rsid w:val="75ED6689"/>
    <w:rsid w:val="78F72204"/>
    <w:rsid w:val="7A4D3BA1"/>
    <w:rsid w:val="7AD01A8D"/>
    <w:rsid w:val="7C7431C7"/>
    <w:rsid w:val="7D2B2F50"/>
    <w:rsid w:val="7EB368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semiHidden="1"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17FC5"/>
    <w:pPr>
      <w:widowControl w:val="0"/>
      <w:jc w:val="both"/>
    </w:pPr>
    <w:rPr>
      <w:kern w:val="2"/>
      <w:sz w:val="21"/>
      <w:szCs w:val="24"/>
    </w:rPr>
  </w:style>
  <w:style w:type="paragraph" w:styleId="3">
    <w:name w:val="heading 3"/>
    <w:basedOn w:val="a"/>
    <w:next w:val="a"/>
    <w:unhideWhenUsed/>
    <w:qFormat/>
    <w:rsid w:val="00517FC5"/>
    <w:pPr>
      <w:keepNext/>
      <w:keepLines/>
      <w:spacing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517FC5"/>
    <w:pPr>
      <w:snapToGrid w:val="0"/>
      <w:spacing w:line="300" w:lineRule="auto"/>
      <w:ind w:firstLine="556"/>
    </w:pPr>
    <w:rPr>
      <w:rFonts w:ascii="仿宋_GB2312" w:eastAsia="仿宋_GB2312" w:hAnsi="宋体" w:cs="宋体"/>
      <w:kern w:val="0"/>
    </w:rPr>
  </w:style>
  <w:style w:type="paragraph" w:styleId="a4">
    <w:name w:val="Plain Text"/>
    <w:basedOn w:val="a"/>
    <w:semiHidden/>
    <w:qFormat/>
    <w:rsid w:val="00517FC5"/>
    <w:rPr>
      <w:rFonts w:ascii="宋体" w:eastAsia="宋体" w:hAnsi="Courier New"/>
      <w:sz w:val="20"/>
      <w:szCs w:val="21"/>
    </w:rPr>
  </w:style>
  <w:style w:type="paragraph" w:styleId="a5">
    <w:name w:val="Normal (Web)"/>
    <w:basedOn w:val="a"/>
    <w:qFormat/>
    <w:rsid w:val="00517FC5"/>
    <w:pPr>
      <w:spacing w:beforeAutospacing="1" w:afterAutospacing="1"/>
      <w:jc w:val="left"/>
    </w:pPr>
    <w:rPr>
      <w:rFonts w:cs="Times New Roman"/>
      <w:kern w:val="0"/>
      <w:sz w:val="24"/>
    </w:rPr>
  </w:style>
  <w:style w:type="paragraph" w:customStyle="1" w:styleId="1">
    <w:name w:val="列出段落1"/>
    <w:basedOn w:val="a"/>
    <w:qFormat/>
    <w:rsid w:val="00517FC5"/>
    <w:pPr>
      <w:ind w:firstLineChars="200" w:firstLine="420"/>
    </w:pPr>
  </w:style>
  <w:style w:type="paragraph" w:styleId="a6">
    <w:name w:val="header"/>
    <w:basedOn w:val="a"/>
    <w:link w:val="Char"/>
    <w:rsid w:val="00CE1E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CE1EF0"/>
    <w:rPr>
      <w:kern w:val="2"/>
      <w:sz w:val="18"/>
      <w:szCs w:val="18"/>
    </w:rPr>
  </w:style>
  <w:style w:type="paragraph" w:styleId="a7">
    <w:name w:val="footer"/>
    <w:basedOn w:val="a"/>
    <w:link w:val="Char0"/>
    <w:rsid w:val="00CE1EF0"/>
    <w:pPr>
      <w:tabs>
        <w:tab w:val="center" w:pos="4153"/>
        <w:tab w:val="right" w:pos="8306"/>
      </w:tabs>
      <w:snapToGrid w:val="0"/>
      <w:jc w:val="left"/>
    </w:pPr>
    <w:rPr>
      <w:sz w:val="18"/>
      <w:szCs w:val="18"/>
    </w:rPr>
  </w:style>
  <w:style w:type="character" w:customStyle="1" w:styleId="Char0">
    <w:name w:val="页脚 Char"/>
    <w:basedOn w:val="a1"/>
    <w:link w:val="a7"/>
    <w:rsid w:val="00CE1EF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1331</Words>
  <Characters>1372</Characters>
  <Application>Microsoft Office Word</Application>
  <DocSecurity>0</DocSecurity>
  <Lines>343</Lines>
  <Paragraphs>337</Paragraphs>
  <ScaleCrop>false</ScaleCrop>
  <Company/>
  <LinksUpToDate>false</LinksUpToDate>
  <CharactersWithSpaces>2366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罗婧炜</dc:creator>
  <cp:lastModifiedBy>Lenovo</cp:lastModifiedBy>
  <cp:revision>2</cp:revision>
  <dcterms:created xsi:type="dcterms:W3CDTF">2023-01-16T03:25:00Z</dcterms:created>
  <dcterms:modified xsi:type="dcterms:W3CDTF">2023-01-16T03:25:00Z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