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FD626F">
      <w:pPr>
        <w:keepNext w:val="0"/>
        <w:keepLines w:val="0"/>
        <w:widowControl w:val="0"/>
        <w:suppressLineNumbers w:val="0"/>
        <w:spacing w:before="0" w:beforeAutospacing="1" w:after="0" w:afterAutospacing="1" w:line="560" w:lineRule="exact"/>
        <w:ind w:left="0" w:right="0" w:firstLine="0" w:firstLineChars="0"/>
        <w:jc w:val="center"/>
      </w:pPr>
      <w:r>
        <w:rPr>
          <w:rFonts w:ascii="方正小标宋简体" w:hAnsi="方正小标宋简体" w:eastAsia="方正小标宋简体" w:cs="方正小标宋简体"/>
          <w:kern w:val="2"/>
          <w:sz w:val="44"/>
          <w:szCs w:val="44"/>
          <w:lang w:val="en-US" w:eastAsia="zh-CN" w:bidi="ar"/>
        </w:rPr>
        <w:t>高安市应急管理局</w:t>
      </w:r>
    </w:p>
    <w:p w14:paraId="040523EB">
      <w:pPr>
        <w:keepNext w:val="0"/>
        <w:keepLines w:val="0"/>
        <w:widowControl w:val="0"/>
        <w:suppressLineNumbers w:val="0"/>
        <w:spacing w:before="0" w:beforeAutospacing="1" w:after="0" w:afterAutospacing="1" w:line="560" w:lineRule="exact"/>
        <w:ind w:left="0" w:right="0" w:firstLine="0" w:firstLineChars="0"/>
        <w:jc w:val="center"/>
      </w:pPr>
      <w:r>
        <w:rPr>
          <w:rFonts w:hint="eastAsia" w:ascii="方正小标宋简体" w:hAnsi="方正小标宋简体" w:eastAsia="方正小标宋简体" w:cs="方正小标宋简体"/>
          <w:kern w:val="2"/>
          <w:sz w:val="44"/>
          <w:szCs w:val="44"/>
          <w:lang w:val="en-US" w:eastAsia="zh-CN" w:bidi="ar"/>
        </w:rPr>
        <w:t>2025年政府信息公开工作年度报告</w:t>
      </w:r>
    </w:p>
    <w:p w14:paraId="1549D4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firstLine="640" w:firstLineChars="200"/>
        <w:jc w:val="both"/>
      </w:pPr>
      <w:r>
        <w:rPr>
          <w:rFonts w:ascii="仿宋_GB2312" w:eastAsia="仿宋_GB2312" w:cs="仿宋_GB2312" w:hAnsiTheme="minorHAnsi"/>
          <w:kern w:val="0"/>
          <w:sz w:val="32"/>
          <w:szCs w:val="32"/>
          <w:bdr w:val="none" w:color="auto" w:sz="0" w:space="0"/>
          <w:shd w:val="clear" w:fill="FFFFFF"/>
          <w:lang w:val="en-US" w:eastAsia="zh-CN" w:bidi="ar"/>
        </w:rPr>
        <w:t> </w:t>
      </w:r>
    </w:p>
    <w:p w14:paraId="148377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exact"/>
        <w:ind w:left="0" w:right="0" w:firstLine="640" w:firstLineChars="200"/>
        <w:jc w:val="both"/>
      </w:pPr>
      <w:r>
        <w:rPr>
          <w:rFonts w:hint="default" w:ascii="仿宋_GB2312" w:eastAsia="仿宋_GB2312" w:cs="仿宋_GB2312"/>
          <w:kern w:val="0"/>
          <w:sz w:val="32"/>
          <w:szCs w:val="32"/>
          <w:bdr w:val="none" w:color="auto" w:sz="0" w:space="0"/>
          <w:shd w:val="clear" w:fill="FFFFFF"/>
          <w:lang w:val="en-US" w:eastAsia="zh-CN" w:bidi="ar"/>
        </w:rPr>
        <w:t>根据《中华人民共和国政府信息公开条例》（以下简称《条例》）规定，以及省、市关于政务公开工作的部署要求，特向社会公布</w:t>
      </w:r>
      <w:r>
        <w:rPr>
          <w:rFonts w:hint="eastAsia" w:ascii="仿宋_GB2312" w:eastAsia="仿宋_GB2312" w:cs="仿宋_GB2312"/>
          <w:kern w:val="0"/>
          <w:sz w:val="32"/>
          <w:szCs w:val="32"/>
          <w:bdr w:val="none" w:color="auto" w:sz="0" w:space="0"/>
          <w:shd w:val="clear" w:fill="FFFFFF"/>
          <w:lang w:val="en-US" w:eastAsia="zh-CN" w:bidi="ar"/>
        </w:rPr>
        <w:t>高安</w:t>
      </w:r>
      <w:r>
        <w:rPr>
          <w:rFonts w:hint="default" w:ascii="仿宋_GB2312" w:eastAsia="仿宋_GB2312" w:cs="仿宋_GB2312"/>
          <w:kern w:val="0"/>
          <w:sz w:val="32"/>
          <w:szCs w:val="32"/>
          <w:bdr w:val="none" w:color="auto" w:sz="0" w:space="0"/>
          <w:shd w:val="clear" w:fill="FFFFFF"/>
          <w:lang w:val="en-US" w:eastAsia="zh-CN" w:bidi="ar"/>
        </w:rPr>
        <w:t>市应急管理局2025年度政府信息公开工作年度报告。本报告包括总体情况、主动公开政府信息情况、收到和处理政府信息公开申请情况、政府信息公开行政复议和行政诉讼情况、存在的主要问题及改进情况、其他需要报告的事项等六个部分。本报告所列数据统计期限自2025年1月1日起至2025年12月31日止。本年度报告的电子版可以通过高安市人民政府门户网站(www.gaoan.gov.cn)下载。如对本报告有任何疑问，请与胡睿联系（地址：高安市瑞泰广场C座9楼应急管理局，电话：0795—5296188，邮编：330800）。</w:t>
      </w:r>
    </w:p>
    <w:p w14:paraId="7741F9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firstLine="640" w:firstLineChars="200"/>
        <w:jc w:val="both"/>
      </w:pPr>
      <w:r>
        <w:rPr>
          <w:rFonts w:ascii="黑体" w:hAnsi="宋体" w:eastAsia="黑体" w:cs="黑体"/>
          <w:b w:val="0"/>
          <w:bCs w:val="0"/>
          <w:kern w:val="2"/>
          <w:sz w:val="32"/>
          <w:szCs w:val="32"/>
          <w:bdr w:val="none" w:color="auto" w:sz="0" w:space="0"/>
          <w:shd w:val="clear" w:fill="FFFFFF"/>
          <w:lang w:val="en-US" w:eastAsia="zh-CN" w:bidi="ar"/>
        </w:rPr>
        <w:t>一、总体情况</w:t>
      </w:r>
    </w:p>
    <w:p w14:paraId="46428828">
      <w:pPr>
        <w:pStyle w:val="2"/>
        <w:keepNext w:val="0"/>
        <w:keepLines w:val="0"/>
        <w:widowControl/>
        <w:suppressLineNumbers w:val="0"/>
        <w:spacing w:before="36" w:beforeAutospacing="0" w:after="0" w:afterAutospacing="0" w:line="444" w:lineRule="atLeast"/>
        <w:ind w:left="0" w:right="0" w:firstLine="516"/>
        <w:jc w:val="both"/>
        <w:rPr>
          <w:rFonts w:hint="default" w:ascii="仿宋_GB2312" w:eastAsia="仿宋_GB2312" w:cs="仿宋_GB2312"/>
          <w:kern w:val="0"/>
          <w:sz w:val="32"/>
          <w:szCs w:val="32"/>
          <w:lang w:val="en-US" w:eastAsia="zh-CN" w:bidi="ar"/>
        </w:rPr>
      </w:pPr>
      <w:r>
        <w:rPr>
          <w:rFonts w:hint="default" w:ascii="仿宋_GB2312" w:eastAsia="仿宋_GB2312" w:cs="仿宋_GB2312"/>
          <w:kern w:val="0"/>
          <w:sz w:val="32"/>
          <w:szCs w:val="32"/>
          <w:lang w:val="en-US" w:eastAsia="zh-CN" w:bidi="ar"/>
        </w:rPr>
        <w:t>2025年，高安市应急管理局坚持以习近平新时代中国特色社会主义思想为指导，深入学习贯彻党的二十大精神，全面落实国家、省、市关于政务公开工作的决策部署，紧紧围绕全市应急管理、安全生产、防灾减灾救灾中心工作，以提升政务公开标准化、规范化、信息化水平为目标，以保障公众知情权、参与权、表达权、监督权为着力点，不断健全工作机制，深化公开内容，拓展公开渠道，优化公开服务，切实增强政府信息公开的主动性、及时性和有效性，为促进应急管理体系和能力现代化、服务全市经济社会发展营造了良好环境。</w:t>
      </w:r>
    </w:p>
    <w:p w14:paraId="4806C1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ascii="楷体_GB2312" w:eastAsia="楷体_GB2312" w:cs="楷体_GB2312"/>
          <w:b w:val="0"/>
          <w:bCs w:val="0"/>
          <w:i w:val="0"/>
          <w:caps w:val="0"/>
          <w:color w:val="000000"/>
          <w:spacing w:val="0"/>
          <w:kern w:val="0"/>
          <w:sz w:val="32"/>
          <w:szCs w:val="32"/>
          <w:bdr w:val="none" w:color="auto" w:sz="0" w:space="0"/>
          <w:shd w:val="clear" w:fill="FFFFFF"/>
          <w:lang w:val="en-US" w:eastAsia="zh-CN" w:bidi="ar"/>
        </w:rPr>
        <w:t>（</w:t>
      </w:r>
      <w:r>
        <w:rPr>
          <w:rFonts w:hint="default" w:ascii="楷体_GB2312" w:eastAsia="楷体_GB2312" w:cs="楷体_GB2312"/>
          <w:b w:val="0"/>
          <w:bCs w:val="0"/>
          <w:i w:val="0"/>
          <w:caps w:val="0"/>
          <w:color w:val="000000"/>
          <w:spacing w:val="0"/>
          <w:kern w:val="0"/>
          <w:sz w:val="32"/>
          <w:szCs w:val="32"/>
          <w:bdr w:val="none" w:color="auto" w:sz="0" w:space="0"/>
          <w:shd w:val="clear" w:fill="FFFFFF"/>
          <w:lang w:val="en-US" w:eastAsia="zh-CN" w:bidi="ar"/>
        </w:rPr>
        <w:t>一）主动公开</w:t>
      </w:r>
      <w:r>
        <w:rPr>
          <w:rFonts w:hint="eastAsia" w:ascii="楷体_GB2312" w:eastAsia="楷体_GB2312" w:cs="楷体_GB2312"/>
          <w:b w:val="0"/>
          <w:bCs w:val="0"/>
          <w:i w:val="0"/>
          <w:caps w:val="0"/>
          <w:color w:val="000000"/>
          <w:spacing w:val="0"/>
          <w:kern w:val="0"/>
          <w:sz w:val="32"/>
          <w:szCs w:val="32"/>
          <w:bdr w:val="none" w:color="auto" w:sz="0" w:space="0"/>
          <w:shd w:val="clear" w:fill="FFFFFF"/>
          <w:lang w:val="en-US" w:eastAsia="zh-CN" w:bidi="ar"/>
        </w:rPr>
        <w:t>情况</w:t>
      </w:r>
    </w:p>
    <w:p w14:paraId="1FD27508">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exact"/>
        <w:ind w:left="0" w:right="0" w:rightChars="0" w:firstLine="640" w:firstLineChars="200"/>
        <w:jc w:val="both"/>
        <w:rPr>
          <w:rFonts w:hint="default" w:ascii="仿宋_GB2312" w:eastAsia="仿宋_GB2312" w:cs="仿宋_GB2312"/>
          <w:kern w:val="0"/>
          <w:sz w:val="32"/>
          <w:szCs w:val="32"/>
          <w:lang w:val="en-US" w:eastAsia="zh-CN" w:bidi="ar"/>
        </w:rPr>
      </w:pPr>
      <w:r>
        <w:rPr>
          <w:rFonts w:hint="default" w:ascii="仿宋_GB2312" w:eastAsia="仿宋_GB2312" w:cs="仿宋_GB2312"/>
          <w:kern w:val="0"/>
          <w:sz w:val="32"/>
          <w:szCs w:val="32"/>
          <w:lang w:val="en-US" w:eastAsia="zh-CN" w:bidi="ar"/>
        </w:rPr>
        <w:t>坚持以公开为常态、不公开为例外原则，聚焦主责主业，全面推进决策、执行、管理、服务、结果“五公开”。全年通过政府网站、政务新媒体、新闻发布会、宣传栏等多种渠道，主动公开政府信息共计</w:t>
      </w:r>
      <w:r>
        <w:rPr>
          <w:rFonts w:hint="eastAsia" w:ascii="仿宋_GB2312" w:eastAsia="仿宋_GB2312" w:cs="仿宋_GB2312"/>
          <w:b w:val="0"/>
          <w:bCs w:val="0"/>
          <w:color w:val="auto"/>
          <w:kern w:val="0"/>
          <w:sz w:val="32"/>
          <w:szCs w:val="32"/>
          <w:lang w:val="en-US" w:eastAsia="zh-CN" w:bidi="ar"/>
        </w:rPr>
        <w:t>64</w:t>
      </w:r>
      <w:r>
        <w:rPr>
          <w:rFonts w:hint="default" w:ascii="仿宋_GB2312" w:eastAsia="仿宋_GB2312" w:cs="仿宋_GB2312"/>
          <w:kern w:val="0"/>
          <w:sz w:val="32"/>
          <w:szCs w:val="32"/>
          <w:lang w:val="en-US" w:eastAsia="zh-CN" w:bidi="ar"/>
        </w:rPr>
        <w:t>条</w:t>
      </w:r>
    </w:p>
    <w:p w14:paraId="09977743">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exact"/>
        <w:ind w:left="0" w:right="0" w:rightChars="0" w:firstLine="640" w:firstLineChars="200"/>
        <w:jc w:val="both"/>
      </w:pPr>
      <w:r>
        <w:rPr>
          <w:rFonts w:hint="default" w:ascii="楷体_GB2312" w:eastAsia="楷体_GB2312" w:cs="楷体_GB2312"/>
          <w:b w:val="0"/>
          <w:bCs w:val="0"/>
          <w:i w:val="0"/>
          <w:caps w:val="0"/>
          <w:color w:val="000000"/>
          <w:spacing w:val="0"/>
          <w:kern w:val="0"/>
          <w:sz w:val="32"/>
          <w:szCs w:val="32"/>
          <w:bdr w:val="none" w:color="auto" w:sz="0" w:space="0"/>
          <w:shd w:val="clear" w:fill="FFFFFF"/>
          <w:lang w:val="en-US" w:eastAsia="zh-CN" w:bidi="ar"/>
        </w:rPr>
        <w:t>（二）依申请公开</w:t>
      </w:r>
      <w:r>
        <w:rPr>
          <w:rFonts w:hint="eastAsia" w:ascii="楷体_GB2312" w:eastAsia="楷体_GB2312" w:cs="楷体_GB2312"/>
          <w:b w:val="0"/>
          <w:bCs w:val="0"/>
          <w:i w:val="0"/>
          <w:caps w:val="0"/>
          <w:color w:val="000000"/>
          <w:spacing w:val="0"/>
          <w:kern w:val="0"/>
          <w:sz w:val="32"/>
          <w:szCs w:val="32"/>
          <w:bdr w:val="none" w:color="auto" w:sz="0" w:space="0"/>
          <w:shd w:val="clear" w:fill="FFFFFF"/>
          <w:lang w:val="en-US" w:eastAsia="zh-CN" w:bidi="ar"/>
        </w:rPr>
        <w:t>情况</w:t>
      </w:r>
      <w:bookmarkStart w:id="0" w:name="_GoBack"/>
      <w:bookmarkEnd w:id="0"/>
    </w:p>
    <w:p w14:paraId="13D233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exact"/>
        <w:ind w:left="0" w:right="0" w:rightChars="0" w:firstLine="640" w:firstLineChars="200"/>
        <w:jc w:val="both"/>
      </w:pPr>
      <w:r>
        <w:rPr>
          <w:rFonts w:hint="default" w:ascii="仿宋_GB2312" w:eastAsia="仿宋_GB2312" w:cs="仿宋_GB2312"/>
          <w:kern w:val="0"/>
          <w:sz w:val="32"/>
          <w:szCs w:val="32"/>
          <w:bdr w:val="none" w:color="auto" w:sz="0" w:space="0"/>
          <w:shd w:val="clear" w:fill="FFFFFF"/>
          <w:lang w:val="en-US" w:eastAsia="zh-CN" w:bidi="ar"/>
        </w:rPr>
        <w:t>没有受理依申请公开的情况。</w:t>
      </w:r>
    </w:p>
    <w:p w14:paraId="4269A1B9">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hint="default" w:ascii="楷体_GB2312" w:eastAsia="楷体_GB2312" w:cs="楷体_GB2312"/>
          <w:b w:val="0"/>
          <w:bCs w:val="0"/>
          <w:i w:val="0"/>
          <w:caps w:val="0"/>
          <w:color w:val="000000"/>
          <w:spacing w:val="0"/>
          <w:kern w:val="0"/>
          <w:sz w:val="32"/>
          <w:szCs w:val="32"/>
          <w:bdr w:val="none" w:color="auto" w:sz="0" w:space="0"/>
          <w:shd w:val="clear" w:fill="FFFFFF"/>
          <w:lang w:val="en-US" w:eastAsia="zh-CN" w:bidi="ar"/>
        </w:rPr>
        <w:t>（三）政府信息管理</w:t>
      </w:r>
    </w:p>
    <w:p w14:paraId="189310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exact"/>
        <w:ind w:left="0" w:right="0" w:rightChars="0" w:firstLine="640" w:firstLineChars="200"/>
        <w:jc w:val="both"/>
        <w:rPr>
          <w:rFonts w:hint="eastAsia" w:ascii="方正仿宋_GB2312" w:hAnsi="方正仿宋_GB2312" w:eastAsia="方正仿宋_GB2312" w:cs="方正仿宋_GB2312"/>
          <w:b w:val="0"/>
          <w:bCs w:val="0"/>
        </w:rPr>
      </w:pPr>
      <w:r>
        <w:rPr>
          <w:rFonts w:hint="default" w:ascii="楷体_GB2312" w:eastAsia="楷体_GB2312" w:cs="楷体_GB2312"/>
          <w:b w:val="0"/>
          <w:bCs w:val="0"/>
          <w:i w:val="0"/>
          <w:caps w:val="0"/>
          <w:color w:val="000000"/>
          <w:spacing w:val="0"/>
          <w:kern w:val="0"/>
          <w:sz w:val="32"/>
          <w:szCs w:val="32"/>
          <w:bdr w:val="none" w:color="auto" w:sz="0" w:space="0"/>
          <w:shd w:val="clear" w:fill="FFFFFF"/>
          <w:lang w:val="en-US" w:eastAsia="zh-CN" w:bidi="ar"/>
        </w:rPr>
        <w:t> </w:t>
      </w:r>
      <w:r>
        <w:rPr>
          <w:rFonts w:hint="eastAsia" w:ascii="方正仿宋_GB2312" w:hAnsi="方正仿宋_GB2312" w:eastAsia="方正仿宋_GB2312" w:cs="方正仿宋_GB2312"/>
          <w:b w:val="0"/>
          <w:bCs w:val="0"/>
          <w:i w:val="0"/>
          <w:caps w:val="0"/>
          <w:color w:val="000000"/>
          <w:spacing w:val="0"/>
          <w:kern w:val="0"/>
          <w:sz w:val="32"/>
          <w:szCs w:val="32"/>
          <w:bdr w:val="none" w:color="auto" w:sz="0" w:space="0"/>
          <w:shd w:val="clear" w:fill="FFFFFF"/>
          <w:lang w:val="en-US" w:eastAsia="zh-CN" w:bidi="ar"/>
        </w:rPr>
        <w:t> </w:t>
      </w:r>
      <w:r>
        <w:rPr>
          <w:rFonts w:hint="eastAsia" w:ascii="方正仿宋_GB2312" w:hAnsi="方正仿宋_GB2312" w:eastAsia="方正仿宋_GB2312" w:cs="方正仿宋_GB2312"/>
          <w:b w:val="0"/>
          <w:bCs w:val="0"/>
          <w:kern w:val="0"/>
          <w:sz w:val="32"/>
          <w:szCs w:val="32"/>
          <w:bdr w:val="none" w:color="auto" w:sz="0" w:space="0"/>
          <w:shd w:val="clear" w:fill="FFFFFF"/>
          <w:lang w:val="en-US" w:eastAsia="zh-CN" w:bidi="ar"/>
        </w:rPr>
        <w:t>健全完善政府信息全生命周期管理制度。严格执行信息发布“三审三校”制度，确保公开信息准确、权威、安全。定期对规范性文件进行清理，更新主动公开基本目录，确保公开信息的系统性和时效性。加强政务公开工作培训，提升全局工作人员信息公开意识和能力。</w:t>
      </w:r>
    </w:p>
    <w:p w14:paraId="2EE49A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hint="default" w:ascii="楷体_GB2312" w:eastAsia="楷体_GB2312" w:cs="楷体_GB2312"/>
          <w:b w:val="0"/>
          <w:bCs w:val="0"/>
          <w:i w:val="0"/>
          <w:caps w:val="0"/>
          <w:color w:val="000000"/>
          <w:spacing w:val="0"/>
          <w:kern w:val="0"/>
          <w:sz w:val="32"/>
          <w:szCs w:val="32"/>
          <w:bdr w:val="none" w:color="auto" w:sz="0" w:space="0"/>
          <w:shd w:val="clear" w:fill="FFFFFF"/>
          <w:lang w:val="en-US" w:eastAsia="zh-CN" w:bidi="ar"/>
        </w:rPr>
        <w:t>（四）政府信息公开平台建设</w:t>
      </w:r>
    </w:p>
    <w:p w14:paraId="6AA9BD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rPr>
          <w:rFonts w:hint="default" w:ascii="仿宋_GB2312" w:eastAsia="仿宋_GB2312" w:cs="仿宋_GB2312"/>
          <w:kern w:val="0"/>
          <w:sz w:val="32"/>
          <w:szCs w:val="32"/>
          <w:bdr w:val="none" w:color="auto" w:sz="0" w:space="0"/>
          <w:shd w:val="clear" w:fill="FFFFFF"/>
          <w:lang w:val="en-US" w:eastAsia="zh-CN" w:bidi="ar"/>
        </w:rPr>
      </w:pPr>
      <w:r>
        <w:rPr>
          <w:rFonts w:hint="default" w:ascii="仿宋_GB2312" w:eastAsia="仿宋_GB2312" w:cs="仿宋_GB2312"/>
          <w:kern w:val="0"/>
          <w:sz w:val="32"/>
          <w:szCs w:val="32"/>
          <w:bdr w:val="none" w:color="auto" w:sz="0" w:space="0"/>
          <w:shd w:val="clear" w:fill="FFFFFF"/>
          <w:lang w:val="en-US" w:eastAsia="zh-CN" w:bidi="ar"/>
        </w:rPr>
        <w:t>持续优化以市政府门户网站为核心的第一公开平台，强化信息发布、解读回应、办事服务、互动交流功能。加强政务新媒体矩阵建设与管理，确保规范运营、同频共振。探索利用政务公开专区、应急广播等渠道，提升信息到达率。</w:t>
      </w:r>
    </w:p>
    <w:p w14:paraId="56F020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pPr>
      <w:r>
        <w:rPr>
          <w:rFonts w:hint="default" w:ascii="楷体_GB2312" w:eastAsia="楷体_GB2312" w:cs="楷体_GB2312"/>
          <w:b w:val="0"/>
          <w:bCs w:val="0"/>
          <w:i w:val="0"/>
          <w:caps w:val="0"/>
          <w:color w:val="000000"/>
          <w:spacing w:val="0"/>
          <w:kern w:val="0"/>
          <w:sz w:val="32"/>
          <w:szCs w:val="32"/>
          <w:bdr w:val="none" w:color="auto" w:sz="0" w:space="0"/>
          <w:shd w:val="clear" w:fill="FFFFFF"/>
          <w:lang w:val="en-US" w:eastAsia="zh-CN" w:bidi="ar"/>
        </w:rPr>
        <w:t>（五）监督保障</w:t>
      </w:r>
    </w:p>
    <w:p w14:paraId="7B9408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firstLine="640" w:firstLineChars="200"/>
        <w:jc w:val="both"/>
      </w:pPr>
      <w:r>
        <w:rPr>
          <w:rFonts w:hint="default" w:ascii="仿宋_GB2312" w:eastAsia="仿宋_GB2312" w:cs="仿宋_GB2312"/>
          <w:kern w:val="0"/>
          <w:sz w:val="32"/>
          <w:szCs w:val="32"/>
          <w:bdr w:val="none" w:color="auto" w:sz="0" w:space="0"/>
          <w:shd w:val="clear" w:fill="FFFFFF"/>
          <w:lang w:val="en-US" w:eastAsia="zh-CN" w:bidi="ar"/>
        </w:rPr>
        <w:t>将政府信息公开工作纳入局年度重点工作任务和绩效考核体系。明确分管领导和责任科室，配备专职工作人员。主动接受社会评议和监督，对上级检查、第三方评估、公众反馈中发现的问题及时整改落实。年内未发生因政府信息公开工作被责任追究的情况。</w:t>
      </w:r>
      <w:r>
        <w:rPr>
          <w:rFonts w:hint="eastAsia" w:ascii="黑体" w:hAnsi="宋体" w:eastAsia="黑体" w:cs="黑体"/>
          <w:b w:val="0"/>
          <w:bCs w:val="0"/>
          <w:kern w:val="2"/>
          <w:sz w:val="32"/>
          <w:szCs w:val="32"/>
          <w:bdr w:val="none" w:color="auto" w:sz="0" w:space="0"/>
          <w:shd w:val="clear" w:fill="FFFFFF"/>
          <w:lang w:val="en-US" w:eastAsia="zh-CN" w:bidi="ar"/>
        </w:rPr>
        <w:t> </w:t>
      </w:r>
    </w:p>
    <w:p w14:paraId="4E976A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firstLine="640" w:firstLineChars="200"/>
        <w:jc w:val="both"/>
      </w:pPr>
      <w:r>
        <w:rPr>
          <w:rFonts w:hint="eastAsia" w:ascii="黑体" w:hAnsi="宋体" w:eastAsia="黑体" w:cs="黑体"/>
          <w:b w:val="0"/>
          <w:bCs w:val="0"/>
          <w:kern w:val="2"/>
          <w:sz w:val="32"/>
          <w:szCs w:val="32"/>
          <w:bdr w:val="none" w:color="auto" w:sz="0" w:space="0"/>
          <w:shd w:val="clear" w:fill="FFFFFF"/>
          <w:lang w:val="en-US" w:eastAsia="zh-CN" w:bidi="ar"/>
        </w:rPr>
        <w:t>二、主动公开政府信息情况</w:t>
      </w:r>
    </w:p>
    <w:tbl>
      <w:tblPr>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455"/>
        <w:gridCol w:w="2455"/>
        <w:gridCol w:w="2455"/>
        <w:gridCol w:w="2455"/>
      </w:tblGrid>
      <w:tr w14:paraId="4DEA4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CCE8CF"/>
            <w:tcMar>
              <w:left w:w="57" w:type="dxa"/>
              <w:right w:w="57" w:type="dxa"/>
            </w:tcMar>
            <w:vAlign w:val="center"/>
          </w:tcPr>
          <w:p w14:paraId="73A444E9">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color w:val="000000"/>
                <w:kern w:val="0"/>
                <w:sz w:val="32"/>
                <w:szCs w:val="32"/>
                <w:bdr w:val="none" w:color="auto" w:sz="0" w:space="0"/>
                <w:lang w:val="en-US" w:eastAsia="zh-CN" w:bidi="ar"/>
              </w:rPr>
              <w:t>第二十条第（一）项</w:t>
            </w:r>
          </w:p>
        </w:tc>
      </w:tr>
      <w:tr w14:paraId="0C5DF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37AB3BD5">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信息内容</w:t>
            </w:r>
          </w:p>
        </w:tc>
        <w:tc>
          <w:tcPr>
            <w:tcW w:w="2455" w:type="dxa"/>
            <w:tcBorders>
              <w:top w:val="single" w:color="auto" w:sz="8" w:space="0"/>
              <w:left w:val="nil"/>
              <w:bottom w:val="single" w:color="auto" w:sz="8" w:space="0"/>
              <w:right w:val="single" w:color="auto" w:sz="8" w:space="0"/>
            </w:tcBorders>
            <w:shd w:val="clear"/>
            <w:tcMar>
              <w:left w:w="57" w:type="dxa"/>
              <w:right w:w="57" w:type="dxa"/>
            </w:tcMar>
            <w:vAlign w:val="center"/>
          </w:tcPr>
          <w:p w14:paraId="76DF522E">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w:t>
            </w:r>
            <w:r>
              <w:rPr>
                <w:rFonts w:hint="default" w:ascii="楷体_GB2312" w:eastAsia="楷体_GB2312" w:cs="楷体_GB2312" w:hAnsiTheme="minorHAnsi"/>
                <w:b/>
                <w:bCs/>
                <w:kern w:val="0"/>
                <w:sz w:val="32"/>
                <w:szCs w:val="32"/>
                <w:bdr w:val="none" w:color="auto" w:sz="0" w:space="0"/>
                <w:lang w:val="en-US" w:eastAsia="zh-CN" w:bidi="ar"/>
              </w:rPr>
              <w:t>制发件数</w:t>
            </w:r>
          </w:p>
        </w:tc>
        <w:tc>
          <w:tcPr>
            <w:tcW w:w="2455" w:type="dxa"/>
            <w:tcBorders>
              <w:top w:val="single" w:color="auto" w:sz="8" w:space="0"/>
              <w:left w:val="nil"/>
              <w:bottom w:val="single" w:color="auto" w:sz="8" w:space="0"/>
              <w:right w:val="single" w:color="auto" w:sz="8" w:space="0"/>
            </w:tcBorders>
            <w:shd w:val="clear"/>
            <w:tcMar>
              <w:left w:w="57" w:type="dxa"/>
              <w:right w:w="57" w:type="dxa"/>
            </w:tcMar>
            <w:vAlign w:val="center"/>
          </w:tcPr>
          <w:p w14:paraId="335AA902">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tcMar>
              <w:left w:w="57" w:type="dxa"/>
              <w:right w:w="57" w:type="dxa"/>
            </w:tcMar>
            <w:vAlign w:val="center"/>
          </w:tcPr>
          <w:p w14:paraId="46AC746B">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现行有效件</w:t>
            </w:r>
            <w:r>
              <w:rPr>
                <w:rFonts w:hint="default" w:ascii="楷体_GB2312" w:eastAsia="楷体_GB2312" w:cs="楷体_GB2312" w:hAnsiTheme="minorHAnsi"/>
                <w:b/>
                <w:bCs/>
                <w:kern w:val="0"/>
                <w:sz w:val="32"/>
                <w:szCs w:val="32"/>
                <w:bdr w:val="none" w:color="auto" w:sz="0" w:space="0"/>
                <w:lang w:val="en-US" w:eastAsia="zh-CN" w:bidi="ar"/>
              </w:rPr>
              <w:t>数</w:t>
            </w:r>
          </w:p>
        </w:tc>
      </w:tr>
      <w:tr w14:paraId="2FF91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007BC3E8">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规   章</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4B8316A3">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kern w:val="2"/>
                <w:sz w:val="32"/>
                <w:szCs w:val="32"/>
                <w:bdr w:val="none" w:color="auto" w:sz="0" w:space="0"/>
                <w:lang w:val="en-US" w:eastAsia="zh-CN" w:bidi="ar"/>
              </w:rPr>
              <w:t>0</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514BFA06">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kern w:val="2"/>
                <w:sz w:val="32"/>
                <w:szCs w:val="32"/>
                <w:bdr w:val="none" w:color="auto" w:sz="0" w:space="0"/>
                <w:lang w:val="en-US" w:eastAsia="zh-CN" w:bidi="ar"/>
              </w:rPr>
              <w:t>0</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4FD3A5F1">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kern w:val="2"/>
                <w:sz w:val="32"/>
                <w:szCs w:val="32"/>
                <w:bdr w:val="none" w:color="auto" w:sz="0" w:space="0"/>
                <w:lang w:val="en-US" w:eastAsia="zh-CN" w:bidi="ar"/>
              </w:rPr>
              <w:t>0</w:t>
            </w:r>
          </w:p>
        </w:tc>
      </w:tr>
      <w:tr w14:paraId="46169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0C09029E">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行政规范性文件</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6CAFDDB0">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color w:val="000000"/>
                <w:kern w:val="0"/>
                <w:sz w:val="32"/>
                <w:szCs w:val="32"/>
                <w:bdr w:val="none" w:color="auto" w:sz="0" w:space="0"/>
                <w:lang w:val="en-US" w:eastAsia="zh-CN" w:bidi="ar"/>
              </w:rPr>
              <w:t>0</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32053382">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color w:val="000000"/>
                <w:kern w:val="0"/>
                <w:sz w:val="32"/>
                <w:szCs w:val="32"/>
                <w:bdr w:val="none" w:color="auto" w:sz="0" w:space="0"/>
                <w:lang w:val="en-US" w:eastAsia="zh-CN" w:bidi="ar"/>
              </w:rPr>
              <w:t>0</w:t>
            </w:r>
          </w:p>
        </w:tc>
        <w:tc>
          <w:tcPr>
            <w:tcW w:w="2455" w:type="dxa"/>
            <w:tcBorders>
              <w:top w:val="nil"/>
              <w:left w:val="nil"/>
              <w:bottom w:val="single" w:color="auto" w:sz="8" w:space="0"/>
              <w:right w:val="single" w:color="auto" w:sz="8" w:space="0"/>
            </w:tcBorders>
            <w:shd w:val="clear"/>
            <w:tcMar>
              <w:left w:w="57" w:type="dxa"/>
              <w:right w:w="57" w:type="dxa"/>
            </w:tcMar>
            <w:vAlign w:val="center"/>
          </w:tcPr>
          <w:p w14:paraId="52AF8B80">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kern w:val="0"/>
                <w:sz w:val="32"/>
                <w:szCs w:val="32"/>
                <w:bdr w:val="none" w:color="auto" w:sz="0" w:space="0"/>
                <w:lang w:val="en-US" w:eastAsia="zh-CN" w:bidi="ar"/>
              </w:rPr>
              <w:t>0</w:t>
            </w:r>
          </w:p>
        </w:tc>
      </w:tr>
      <w:tr w14:paraId="2A65F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CCE8CF"/>
            <w:tcMar>
              <w:left w:w="57" w:type="dxa"/>
              <w:right w:w="57" w:type="dxa"/>
            </w:tcMar>
            <w:vAlign w:val="center"/>
          </w:tcPr>
          <w:p w14:paraId="7F9AD223">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第二十条第（五）项</w:t>
            </w:r>
          </w:p>
        </w:tc>
      </w:tr>
      <w:tr w14:paraId="17C8A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5E2BA071">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信息内容</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34692D66">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本年处理决定数量</w:t>
            </w:r>
          </w:p>
        </w:tc>
      </w:tr>
      <w:tr w14:paraId="11028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263358E6">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行政许可</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66D634E2">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0</w:t>
            </w:r>
          </w:p>
        </w:tc>
      </w:tr>
      <w:tr w14:paraId="5B516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CCE8CF"/>
            <w:tcMar>
              <w:left w:w="57" w:type="dxa"/>
              <w:right w:w="57" w:type="dxa"/>
            </w:tcMar>
            <w:vAlign w:val="center"/>
          </w:tcPr>
          <w:p w14:paraId="60BE5D65">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第二十条第（六）项</w:t>
            </w:r>
          </w:p>
        </w:tc>
      </w:tr>
      <w:tr w14:paraId="4F3D2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172477EC">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tcMar>
              <w:left w:w="57" w:type="dxa"/>
              <w:right w:w="57" w:type="dxa"/>
            </w:tcMar>
            <w:vAlign w:val="center"/>
          </w:tcPr>
          <w:p w14:paraId="00F51056">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本年处理决定数量</w:t>
            </w:r>
          </w:p>
        </w:tc>
      </w:tr>
      <w:tr w14:paraId="204C2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3C53816A">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行政处罚</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008620AA">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color w:val="000000"/>
                <w:kern w:val="0"/>
                <w:sz w:val="32"/>
                <w:szCs w:val="32"/>
                <w:bdr w:val="none" w:color="auto" w:sz="0" w:space="0"/>
                <w:lang w:val="en-US" w:eastAsia="zh-CN" w:bidi="ar"/>
              </w:rPr>
              <w:t>18</w:t>
            </w:r>
          </w:p>
        </w:tc>
      </w:tr>
      <w:tr w14:paraId="1CC1A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63D4EC57">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行政强制</w:t>
            </w:r>
          </w:p>
        </w:tc>
        <w:tc>
          <w:tcPr>
            <w:tcW w:w="7365" w:type="dxa"/>
            <w:gridSpan w:val="3"/>
            <w:tcBorders>
              <w:top w:val="nil"/>
              <w:left w:val="nil"/>
              <w:bottom w:val="single" w:color="auto" w:sz="8" w:space="0"/>
              <w:right w:val="single" w:color="auto" w:sz="8" w:space="0"/>
            </w:tcBorders>
            <w:shd w:val="clear"/>
            <w:tcMar>
              <w:left w:w="57" w:type="dxa"/>
              <w:right w:w="57" w:type="dxa"/>
            </w:tcMar>
            <w:vAlign w:val="center"/>
          </w:tcPr>
          <w:p w14:paraId="6736E962">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color w:val="000000"/>
                <w:kern w:val="0"/>
                <w:sz w:val="32"/>
                <w:szCs w:val="32"/>
                <w:bdr w:val="none" w:color="auto" w:sz="0" w:space="0"/>
                <w:lang w:val="en-US" w:eastAsia="zh-CN" w:bidi="ar"/>
              </w:rPr>
              <w:t>0</w:t>
            </w:r>
          </w:p>
        </w:tc>
      </w:tr>
      <w:tr w14:paraId="4288F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CCE8CF"/>
            <w:tcMar>
              <w:left w:w="57" w:type="dxa"/>
              <w:right w:w="57" w:type="dxa"/>
            </w:tcMar>
            <w:vAlign w:val="center"/>
          </w:tcPr>
          <w:p w14:paraId="2181E516">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第二十条第（八）项</w:t>
            </w:r>
          </w:p>
        </w:tc>
      </w:tr>
      <w:tr w14:paraId="73CE1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61ED0B93">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信息内容</w:t>
            </w:r>
          </w:p>
        </w:tc>
        <w:tc>
          <w:tcPr>
            <w:tcW w:w="7365" w:type="dxa"/>
            <w:gridSpan w:val="3"/>
            <w:tcBorders>
              <w:top w:val="nil"/>
              <w:left w:val="nil"/>
              <w:bottom w:val="single" w:color="auto" w:sz="8" w:space="0"/>
              <w:right w:val="single" w:color="000000" w:sz="8" w:space="0"/>
            </w:tcBorders>
            <w:shd w:val="clear"/>
            <w:tcMar>
              <w:left w:w="57" w:type="dxa"/>
              <w:right w:w="57" w:type="dxa"/>
            </w:tcMar>
            <w:vAlign w:val="center"/>
          </w:tcPr>
          <w:p w14:paraId="68A09E36">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本年收费金额（单位：万元）</w:t>
            </w:r>
          </w:p>
        </w:tc>
      </w:tr>
      <w:tr w14:paraId="149CE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tcMar>
              <w:left w:w="57" w:type="dxa"/>
              <w:right w:w="57" w:type="dxa"/>
            </w:tcMar>
            <w:vAlign w:val="center"/>
          </w:tcPr>
          <w:p w14:paraId="05A37A4E">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行政事业性收费</w:t>
            </w:r>
          </w:p>
        </w:tc>
        <w:tc>
          <w:tcPr>
            <w:tcW w:w="7365" w:type="dxa"/>
            <w:gridSpan w:val="3"/>
            <w:tcBorders>
              <w:top w:val="nil"/>
              <w:left w:val="nil"/>
              <w:bottom w:val="single" w:color="auto" w:sz="8" w:space="0"/>
              <w:right w:val="single" w:color="000000" w:sz="8" w:space="0"/>
            </w:tcBorders>
            <w:shd w:val="clear"/>
            <w:tcMar>
              <w:left w:w="57" w:type="dxa"/>
              <w:right w:w="57" w:type="dxa"/>
            </w:tcMar>
            <w:vAlign w:val="center"/>
          </w:tcPr>
          <w:p w14:paraId="4E3938EE">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kern w:val="2"/>
                <w:sz w:val="32"/>
                <w:szCs w:val="32"/>
                <w:bdr w:val="none" w:color="auto" w:sz="0" w:space="0"/>
                <w:lang w:val="en-US" w:eastAsia="zh-CN" w:bidi="ar"/>
              </w:rPr>
              <w:t>0</w:t>
            </w:r>
          </w:p>
        </w:tc>
      </w:tr>
    </w:tbl>
    <w:p w14:paraId="5A2B294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hint="eastAsia" w:ascii="黑体" w:hAnsi="宋体" w:eastAsia="黑体" w:cs="黑体"/>
          <w:b w:val="0"/>
          <w:bCs w:val="0"/>
          <w:kern w:val="2"/>
          <w:sz w:val="32"/>
          <w:szCs w:val="32"/>
          <w:bdr w:val="none" w:color="auto" w:sz="0" w:space="0"/>
          <w:shd w:val="clear" w:fill="FFFFFF"/>
          <w:lang w:val="en-US" w:eastAsia="zh-CN" w:bidi="ar"/>
        </w:rPr>
        <w:t>三、收到和处理政府信息公开申请情况</w:t>
      </w:r>
    </w:p>
    <w:tbl>
      <w:tblPr>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4246C7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tcMar>
              <w:left w:w="108" w:type="dxa"/>
              <w:right w:w="108" w:type="dxa"/>
            </w:tcMar>
            <w:vAlign w:val="center"/>
          </w:tcPr>
          <w:p w14:paraId="1576219F">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tcMar>
              <w:left w:w="57" w:type="dxa"/>
              <w:right w:w="57" w:type="dxa"/>
            </w:tcMar>
            <w:vAlign w:val="center"/>
          </w:tcPr>
          <w:p w14:paraId="35E2C922">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申请人情况</w:t>
            </w:r>
          </w:p>
        </w:tc>
      </w:tr>
      <w:tr w14:paraId="740696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tcMar>
              <w:left w:w="108" w:type="dxa"/>
              <w:right w:w="108" w:type="dxa"/>
            </w:tcMar>
            <w:vAlign w:val="center"/>
          </w:tcPr>
          <w:p w14:paraId="178B3C40">
            <w:pPr>
              <w:rPr>
                <w:rFonts w:hint="eastAsia" w:ascii="宋体"/>
                <w:sz w:val="24"/>
                <w:szCs w:val="24"/>
              </w:rPr>
            </w:pPr>
          </w:p>
        </w:tc>
        <w:tc>
          <w:tcPr>
            <w:tcW w:w="439" w:type="dxa"/>
            <w:vMerge w:val="restart"/>
            <w:tcBorders>
              <w:top w:val="nil"/>
              <w:left w:val="nil"/>
              <w:bottom w:val="single" w:color="auto" w:sz="8" w:space="0"/>
              <w:right w:val="single" w:color="auto" w:sz="8" w:space="0"/>
            </w:tcBorders>
            <w:shd w:val="clear"/>
            <w:tcMar>
              <w:left w:w="57" w:type="dxa"/>
              <w:right w:w="57" w:type="dxa"/>
            </w:tcMar>
            <w:vAlign w:val="center"/>
          </w:tcPr>
          <w:p w14:paraId="37EA4D38">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自</w:t>
            </w:r>
          </w:p>
          <w:p w14:paraId="554DE956">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 </w:t>
            </w:r>
          </w:p>
          <w:p w14:paraId="64CFFA58">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然</w:t>
            </w:r>
          </w:p>
          <w:p w14:paraId="28F11F01">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 </w:t>
            </w:r>
          </w:p>
          <w:p w14:paraId="3F2C8A72">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tcMar>
              <w:left w:w="57" w:type="dxa"/>
              <w:right w:w="57" w:type="dxa"/>
            </w:tcMar>
            <w:vAlign w:val="center"/>
          </w:tcPr>
          <w:p w14:paraId="3B214A52">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tcMar>
              <w:left w:w="57" w:type="dxa"/>
              <w:right w:w="57" w:type="dxa"/>
            </w:tcMar>
            <w:vAlign w:val="center"/>
          </w:tcPr>
          <w:p w14:paraId="468A5ED6">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总计</w:t>
            </w:r>
          </w:p>
        </w:tc>
      </w:tr>
      <w:tr w14:paraId="1597301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tcMar>
              <w:left w:w="108" w:type="dxa"/>
              <w:right w:w="108" w:type="dxa"/>
            </w:tcMar>
            <w:vAlign w:val="center"/>
          </w:tcPr>
          <w:p w14:paraId="728BA23D">
            <w:pPr>
              <w:rPr>
                <w:rFonts w:hint="eastAsia" w:ascii="宋体"/>
                <w:sz w:val="24"/>
                <w:szCs w:val="24"/>
              </w:rPr>
            </w:pPr>
          </w:p>
        </w:tc>
        <w:tc>
          <w:tcPr>
            <w:tcW w:w="439" w:type="dxa"/>
            <w:vMerge w:val="continue"/>
            <w:tcBorders>
              <w:top w:val="nil"/>
              <w:left w:val="nil"/>
              <w:bottom w:val="single" w:color="auto" w:sz="8" w:space="0"/>
              <w:right w:val="single" w:color="auto" w:sz="8" w:space="0"/>
            </w:tcBorders>
            <w:shd w:val="clear"/>
            <w:tcMar>
              <w:left w:w="57" w:type="dxa"/>
              <w:right w:w="57" w:type="dxa"/>
            </w:tcMar>
            <w:vAlign w:val="center"/>
          </w:tcPr>
          <w:p w14:paraId="342FAC65">
            <w:pPr>
              <w:rPr>
                <w:rFonts w:hint="eastAsia" w:ascii="宋体"/>
                <w:sz w:val="24"/>
                <w:szCs w:val="24"/>
              </w:rPr>
            </w:pP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3FBFB588">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商业</w:t>
            </w:r>
          </w:p>
          <w:p w14:paraId="3F4B0D7F">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企业</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1F9992E7">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科研</w:t>
            </w:r>
          </w:p>
          <w:p w14:paraId="393569D4">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机构</w:t>
            </w:r>
          </w:p>
        </w:tc>
        <w:tc>
          <w:tcPr>
            <w:tcW w:w="497" w:type="dxa"/>
            <w:tcBorders>
              <w:top w:val="single" w:color="auto" w:sz="8" w:space="0"/>
              <w:left w:val="nil"/>
              <w:bottom w:val="single" w:color="auto" w:sz="8" w:space="0"/>
              <w:right w:val="single" w:color="auto" w:sz="8" w:space="0"/>
            </w:tcBorders>
            <w:shd w:val="clear"/>
            <w:tcMar>
              <w:left w:w="57" w:type="dxa"/>
              <w:right w:w="57" w:type="dxa"/>
            </w:tcMar>
            <w:vAlign w:val="center"/>
          </w:tcPr>
          <w:p w14:paraId="5E06AAB0">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tcMar>
              <w:left w:w="57" w:type="dxa"/>
              <w:right w:w="57" w:type="dxa"/>
            </w:tcMar>
            <w:vAlign w:val="center"/>
          </w:tcPr>
          <w:p w14:paraId="16088CBE">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tcMar>
              <w:left w:w="57" w:type="dxa"/>
              <w:right w:w="57" w:type="dxa"/>
            </w:tcMar>
            <w:vAlign w:val="center"/>
          </w:tcPr>
          <w:p w14:paraId="5C765443">
            <w:pPr>
              <w:keepNext w:val="0"/>
              <w:keepLines w:val="0"/>
              <w:widowControl/>
              <w:suppressLineNumbers w:val="0"/>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tcMar>
              <w:left w:w="57" w:type="dxa"/>
              <w:right w:w="57" w:type="dxa"/>
            </w:tcMar>
            <w:vAlign w:val="center"/>
          </w:tcPr>
          <w:p w14:paraId="1D9C1A28">
            <w:pPr>
              <w:rPr>
                <w:rFonts w:hint="eastAsia" w:ascii="宋体"/>
                <w:sz w:val="24"/>
                <w:szCs w:val="24"/>
              </w:rPr>
            </w:pPr>
          </w:p>
        </w:tc>
      </w:tr>
      <w:tr w14:paraId="34BE6D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14:paraId="6A7DD880">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49AE1EBE">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6221BDCE">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7A0D0520">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1F400E03">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50CECBAA">
            <w:pPr>
              <w:keepNext w:val="0"/>
              <w:keepLines w:val="0"/>
              <w:widowControl/>
              <w:suppressLineNumbers w:val="0"/>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3DAAC5C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63273480">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r>
      <w:tr w14:paraId="5DD98BF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tcMar>
              <w:left w:w="57" w:type="dxa"/>
              <w:right w:w="57" w:type="dxa"/>
            </w:tcMar>
            <w:vAlign w:val="center"/>
          </w:tcPr>
          <w:p w14:paraId="38A7A663">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0348D314">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2AEDA5F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5835FE6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7775981C">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7EE0E3C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4C891878">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09DC2EA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r>
      <w:tr w14:paraId="745EDEF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tcMar>
              <w:left w:w="57" w:type="dxa"/>
              <w:right w:w="57" w:type="dxa"/>
            </w:tcMar>
            <w:vAlign w:val="center"/>
          </w:tcPr>
          <w:p w14:paraId="699ED42D">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三、本年度办理结果</w:t>
            </w:r>
          </w:p>
        </w:tc>
        <w:tc>
          <w:tcPr>
            <w:tcW w:w="5820" w:type="dxa"/>
            <w:gridSpan w:val="2"/>
            <w:tcBorders>
              <w:top w:val="nil"/>
              <w:left w:val="nil"/>
              <w:bottom w:val="single" w:color="auto" w:sz="8" w:space="0"/>
              <w:right w:val="single" w:color="auto" w:sz="8" w:space="0"/>
            </w:tcBorders>
            <w:shd w:val="clear"/>
            <w:tcMar>
              <w:left w:w="57" w:type="dxa"/>
              <w:right w:w="57" w:type="dxa"/>
            </w:tcMar>
            <w:vAlign w:val="center"/>
          </w:tcPr>
          <w:p w14:paraId="470D0BD6">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（一）予以公开</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11639EA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26655A5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0A9D9F8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4FF2F382">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0B25703F">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13E0CB42">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71" w:type="dxa"/>
            <w:tcBorders>
              <w:top w:val="single" w:color="auto" w:sz="8" w:space="0"/>
              <w:left w:val="nil"/>
              <w:bottom w:val="single" w:color="auto" w:sz="8" w:space="0"/>
              <w:right w:val="single" w:color="auto" w:sz="8" w:space="0"/>
            </w:tcBorders>
            <w:shd w:val="clear"/>
            <w:tcMar>
              <w:left w:w="57" w:type="dxa"/>
              <w:right w:w="57" w:type="dxa"/>
            </w:tcMar>
            <w:vAlign w:val="center"/>
          </w:tcPr>
          <w:p w14:paraId="730C5B1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r>
      <w:tr w14:paraId="69FC93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618BBEA7">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tcMar>
              <w:left w:w="57" w:type="dxa"/>
              <w:right w:w="57" w:type="dxa"/>
            </w:tcMar>
            <w:vAlign w:val="center"/>
          </w:tcPr>
          <w:p w14:paraId="5942D335">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40D303B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67ACD98">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65E49B17">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42798E12">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53CF116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01A2A1C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5D684516">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r>
      <w:tr w14:paraId="6E5FA2F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5985FE27">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tcMar>
              <w:left w:w="57" w:type="dxa"/>
              <w:right w:w="57" w:type="dxa"/>
            </w:tcMar>
            <w:vAlign w:val="center"/>
          </w:tcPr>
          <w:p w14:paraId="3EB95430">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（三）不予公开</w:t>
            </w:r>
          </w:p>
        </w:tc>
        <w:tc>
          <w:tcPr>
            <w:tcW w:w="4823" w:type="dxa"/>
            <w:tcBorders>
              <w:top w:val="nil"/>
              <w:left w:val="nil"/>
              <w:bottom w:val="single" w:color="auto" w:sz="8" w:space="0"/>
              <w:right w:val="single" w:color="auto" w:sz="8" w:space="0"/>
            </w:tcBorders>
            <w:shd w:val="clear"/>
            <w:tcMar>
              <w:left w:w="57" w:type="dxa"/>
              <w:right w:w="57" w:type="dxa"/>
            </w:tcMar>
            <w:vAlign w:val="top"/>
          </w:tcPr>
          <w:p w14:paraId="080BAF5C">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1.属于国家秘密</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35C790B3">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0210EBB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1E540C3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13AC12EA">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3DAB2D28">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05228988">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single" w:color="auto" w:sz="8" w:space="0"/>
              <w:left w:val="nil"/>
              <w:bottom w:val="single" w:color="auto" w:sz="8" w:space="0"/>
              <w:right w:val="single" w:color="auto" w:sz="8" w:space="0"/>
            </w:tcBorders>
            <w:shd w:val="clear"/>
            <w:tcMar>
              <w:left w:w="57" w:type="dxa"/>
              <w:right w:w="57" w:type="dxa"/>
            </w:tcMar>
            <w:vAlign w:val="center"/>
          </w:tcPr>
          <w:p w14:paraId="7E77934A">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7E4ADB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350482AC">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4DE41A85">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7EF2FCDB">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2.其他法律行政法规禁止公开</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0606BE77">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6165337A">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4188F4B9">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68F9806A">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158AB754">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70D077A7">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6A47B92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74E2F4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78D69EB7">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7E709410">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72410374">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3.危及“三安全一稳定”</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7A45473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5712D124">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3C9B3263">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1728998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7E4A194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04BB39E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6DDEC96F">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6DE1373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77AAAFE8">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2EA25F0F">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57DEE44F">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4.保护第三方合法权益</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491AB258">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8FDDED6">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38354251">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402DF5D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742CA4A9">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6D6A7D0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3EBAC954">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69F22A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31BD19B7">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4A769E98">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306DD1C8">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5.属于三类内部事务信息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19EC621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7EEB4411">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40D5BDA0">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4D88C256">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250C3D9C">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086A1893">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251E0A1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78CA8E6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12E99FFA">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57ECE2AE">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0978C14E">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6.属于四类过程性信息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5C04500C">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0775766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3AF97E52">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0CB4D162">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3AE2C7F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0FA43EE8">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633BE71F">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41983AA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18B56902">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35D1E75A">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5EF56517">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7.属于行政执法案卷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7F490253">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4967B20">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635470B6">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02866CD3">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3A24BEDA">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44C4A173">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43800FB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5F8A82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77433323">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5C6AAA9A">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60A633E5">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8.属于行政查询事项</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571A25B9">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268D347F">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71B47BB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20234190">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2E482707">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4A186FC1">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7D021621">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59B84A7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0C51EA4D">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tcMar>
              <w:left w:w="57" w:type="dxa"/>
              <w:right w:w="57" w:type="dxa"/>
            </w:tcMar>
            <w:vAlign w:val="center"/>
          </w:tcPr>
          <w:p w14:paraId="4714DA7D">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（四）无法提供</w:t>
            </w:r>
          </w:p>
        </w:tc>
        <w:tc>
          <w:tcPr>
            <w:tcW w:w="4823" w:type="dxa"/>
            <w:tcBorders>
              <w:top w:val="nil"/>
              <w:left w:val="nil"/>
              <w:bottom w:val="single" w:color="auto" w:sz="8" w:space="0"/>
              <w:right w:val="single" w:color="auto" w:sz="8" w:space="0"/>
            </w:tcBorders>
            <w:shd w:val="clear"/>
            <w:tcMar>
              <w:left w:w="57" w:type="dxa"/>
              <w:right w:w="57" w:type="dxa"/>
            </w:tcMar>
            <w:vAlign w:val="top"/>
          </w:tcPr>
          <w:p w14:paraId="5A000B34">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1.本机关不掌握相关政府信息</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0294FD4F">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16CE5177">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4924D3B0">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6163DBB1">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7B2CA8FA">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1B0F1FE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6D1C8FA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682A58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347AF55E">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60598021">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4D1F4FFF">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2.没有现成信息需要另行制作</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09F4D25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0982761">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7E8152E2">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76399EC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6B6C3F5A">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495A697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67BD769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73BD6F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7C200977">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01FA0061">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2EF80349">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3.补正后申请内容仍不明确</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2B6D85F0">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30C62788">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2FC02134">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5464D66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77402904">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5F00DF0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6364F274">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71167C3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76B2F490">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tcMar>
              <w:left w:w="57" w:type="dxa"/>
              <w:right w:w="57" w:type="dxa"/>
            </w:tcMar>
            <w:vAlign w:val="center"/>
          </w:tcPr>
          <w:p w14:paraId="37882BB0">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（五）不予处理</w:t>
            </w:r>
          </w:p>
        </w:tc>
        <w:tc>
          <w:tcPr>
            <w:tcW w:w="4823" w:type="dxa"/>
            <w:tcBorders>
              <w:top w:val="nil"/>
              <w:left w:val="nil"/>
              <w:bottom w:val="single" w:color="auto" w:sz="8" w:space="0"/>
              <w:right w:val="single" w:color="auto" w:sz="8" w:space="0"/>
            </w:tcBorders>
            <w:shd w:val="clear"/>
            <w:tcMar>
              <w:left w:w="57" w:type="dxa"/>
              <w:right w:w="57" w:type="dxa"/>
            </w:tcMar>
            <w:vAlign w:val="top"/>
          </w:tcPr>
          <w:p w14:paraId="4C1B3087">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1.信访举报投诉类申请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4BB4404A">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E1657EA">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3E691A9F">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419FC3F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22235AD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03187310">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3F136669">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715FF3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270A3EEB">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2B7F9AD0">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08B3E701">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2.重复申请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45D188B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5851987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23CEFEF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6A2C972C">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21A838D7">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7A769D19">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1ABFB382">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1BD208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5463BBFE">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7E04C922">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3EFBD0E1">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3.要求提供公开出版物</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46E65686">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10EA279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46C0B4EF">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03131FD0">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3804D624">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01F4D017">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7ADF188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4BBFA6D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523DB210">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72FF0482">
            <w:pPr>
              <w:rPr>
                <w:rFonts w:hint="eastAsia" w:ascii="宋体"/>
                <w:sz w:val="24"/>
                <w:szCs w:val="24"/>
              </w:rPr>
            </w:pPr>
          </w:p>
        </w:tc>
        <w:tc>
          <w:tcPr>
            <w:tcW w:w="4823" w:type="dxa"/>
            <w:tcBorders>
              <w:top w:val="nil"/>
              <w:left w:val="nil"/>
              <w:bottom w:val="single" w:color="auto" w:sz="8" w:space="0"/>
              <w:right w:val="single" w:color="auto" w:sz="8" w:space="0"/>
            </w:tcBorders>
            <w:shd w:val="clear"/>
            <w:tcMar>
              <w:left w:w="57" w:type="dxa"/>
              <w:right w:w="57" w:type="dxa"/>
            </w:tcMar>
            <w:vAlign w:val="top"/>
          </w:tcPr>
          <w:p w14:paraId="1F6A8580">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4.无正当理由大量反复申请</w:t>
            </w:r>
          </w:p>
        </w:tc>
        <w:tc>
          <w:tcPr>
            <w:tcW w:w="439" w:type="dxa"/>
            <w:tcBorders>
              <w:top w:val="nil"/>
              <w:left w:val="nil"/>
              <w:bottom w:val="single" w:color="auto" w:sz="8" w:space="0"/>
              <w:right w:val="single" w:color="auto" w:sz="8" w:space="0"/>
            </w:tcBorders>
            <w:shd w:val="clear"/>
            <w:tcMar>
              <w:left w:w="57" w:type="dxa"/>
              <w:right w:w="57" w:type="dxa"/>
            </w:tcMar>
            <w:vAlign w:val="center"/>
          </w:tcPr>
          <w:p w14:paraId="4E6394E2">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left w:w="57" w:type="dxa"/>
              <w:right w:w="57" w:type="dxa"/>
            </w:tcMar>
            <w:vAlign w:val="center"/>
          </w:tcPr>
          <w:p w14:paraId="484479C4">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left w:w="57" w:type="dxa"/>
              <w:right w:w="57" w:type="dxa"/>
            </w:tcMar>
            <w:vAlign w:val="center"/>
          </w:tcPr>
          <w:p w14:paraId="31A223BF">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left w:w="57" w:type="dxa"/>
              <w:right w:w="57" w:type="dxa"/>
            </w:tcMar>
            <w:vAlign w:val="center"/>
          </w:tcPr>
          <w:p w14:paraId="3B2AA9C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left w:w="57" w:type="dxa"/>
              <w:right w:w="57" w:type="dxa"/>
            </w:tcMar>
            <w:vAlign w:val="center"/>
          </w:tcPr>
          <w:p w14:paraId="63FF16F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left w:w="57" w:type="dxa"/>
              <w:right w:w="57" w:type="dxa"/>
            </w:tcMar>
            <w:vAlign w:val="center"/>
          </w:tcPr>
          <w:p w14:paraId="016C3C36">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left w:w="57" w:type="dxa"/>
              <w:right w:w="57" w:type="dxa"/>
            </w:tcMar>
            <w:vAlign w:val="center"/>
          </w:tcPr>
          <w:p w14:paraId="05019629">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44F355E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7866EDFD">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left w:w="57" w:type="dxa"/>
              <w:right w:w="57" w:type="dxa"/>
            </w:tcMar>
            <w:vAlign w:val="center"/>
          </w:tcPr>
          <w:p w14:paraId="7B028385">
            <w:pPr>
              <w:rPr>
                <w:rFonts w:hint="eastAsia" w:ascii="宋体"/>
                <w:sz w:val="24"/>
                <w:szCs w:val="24"/>
              </w:rPr>
            </w:pPr>
          </w:p>
        </w:tc>
        <w:tc>
          <w:tcPr>
            <w:tcW w:w="4823" w:type="dxa"/>
            <w:tcBorders>
              <w:top w:val="nil"/>
              <w:left w:val="nil"/>
              <w:bottom w:val="single" w:color="auto" w:sz="4" w:space="0"/>
              <w:right w:val="single" w:color="auto" w:sz="8" w:space="0"/>
            </w:tcBorders>
            <w:shd w:val="clear"/>
            <w:tcMar>
              <w:left w:w="57" w:type="dxa"/>
              <w:right w:w="57" w:type="dxa"/>
            </w:tcMar>
            <w:vAlign w:val="center"/>
          </w:tcPr>
          <w:p w14:paraId="76DC4EC9">
            <w:pPr>
              <w:keepNext w:val="0"/>
              <w:keepLines w:val="0"/>
              <w:widowControl/>
              <w:suppressLineNumbers w:val="0"/>
              <w:spacing w:before="0" w:beforeAutospacing="0" w:after="0" w:afterAutospacing="0" w:line="400" w:lineRule="exact"/>
              <w:ind w:left="0" w:right="0" w:firstLine="0" w:firstLineChars="0"/>
              <w:jc w:val="both"/>
            </w:pPr>
            <w:r>
              <w:rPr>
                <w:rFonts w:hint="default" w:ascii="楷体_GB2312" w:eastAsia="楷体_GB2312" w:cs="楷体_GB2312" w:hAnsiTheme="minorHAnsi"/>
                <w:b/>
                <w:bCs/>
                <w:kern w:val="0"/>
                <w:sz w:val="32"/>
                <w:szCs w:val="32"/>
                <w:bdr w:val="none" w:color="auto" w:sz="0" w:space="0"/>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tcMar>
              <w:left w:w="57" w:type="dxa"/>
              <w:right w:w="57" w:type="dxa"/>
            </w:tcMar>
            <w:vAlign w:val="center"/>
          </w:tcPr>
          <w:p w14:paraId="1869CFD3">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4" w:space="0"/>
              <w:right w:val="single" w:color="auto" w:sz="8" w:space="0"/>
            </w:tcBorders>
            <w:shd w:val="clear"/>
            <w:tcMar>
              <w:left w:w="57" w:type="dxa"/>
              <w:right w:w="57" w:type="dxa"/>
            </w:tcMar>
            <w:vAlign w:val="center"/>
          </w:tcPr>
          <w:p w14:paraId="4C4C0359">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4" w:space="0"/>
              <w:right w:val="single" w:color="auto" w:sz="8" w:space="0"/>
            </w:tcBorders>
            <w:shd w:val="clear"/>
            <w:tcMar>
              <w:left w:w="57" w:type="dxa"/>
              <w:right w:w="57" w:type="dxa"/>
            </w:tcMar>
            <w:vAlign w:val="center"/>
          </w:tcPr>
          <w:p w14:paraId="14F98A9A">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4" w:space="0"/>
              <w:right w:val="single" w:color="auto" w:sz="8" w:space="0"/>
            </w:tcBorders>
            <w:shd w:val="clear"/>
            <w:tcMar>
              <w:left w:w="57" w:type="dxa"/>
              <w:right w:w="57" w:type="dxa"/>
            </w:tcMar>
            <w:vAlign w:val="center"/>
          </w:tcPr>
          <w:p w14:paraId="086B88F8">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4" w:space="0"/>
              <w:right w:val="single" w:color="auto" w:sz="8" w:space="0"/>
            </w:tcBorders>
            <w:shd w:val="clear"/>
            <w:tcMar>
              <w:left w:w="57" w:type="dxa"/>
              <w:right w:w="57" w:type="dxa"/>
            </w:tcMar>
            <w:vAlign w:val="center"/>
          </w:tcPr>
          <w:p w14:paraId="4B402568">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4" w:space="0"/>
              <w:right w:val="single" w:color="auto" w:sz="8" w:space="0"/>
            </w:tcBorders>
            <w:shd w:val="clear"/>
            <w:tcMar>
              <w:left w:w="57" w:type="dxa"/>
              <w:right w:w="57" w:type="dxa"/>
            </w:tcMar>
            <w:vAlign w:val="center"/>
          </w:tcPr>
          <w:p w14:paraId="4769E03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4" w:space="0"/>
              <w:right w:val="single" w:color="auto" w:sz="8" w:space="0"/>
            </w:tcBorders>
            <w:shd w:val="clear"/>
            <w:tcMar>
              <w:left w:w="57" w:type="dxa"/>
              <w:right w:w="57" w:type="dxa"/>
            </w:tcMar>
            <w:vAlign w:val="center"/>
          </w:tcPr>
          <w:p w14:paraId="2DF9A0C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54B682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35510D45">
            <w:pPr>
              <w:rPr>
                <w:rFonts w:hint="eastAsia" w:ascii="宋体"/>
                <w:sz w:val="24"/>
                <w:szCs w:val="24"/>
              </w:rPr>
            </w:pPr>
          </w:p>
        </w:tc>
        <w:tc>
          <w:tcPr>
            <w:tcW w:w="997" w:type="dxa"/>
            <w:vMerge w:val="restart"/>
            <w:tcBorders>
              <w:top w:val="nil"/>
              <w:left w:val="nil"/>
              <w:bottom w:val="single" w:color="auto" w:sz="4" w:space="0"/>
              <w:right w:val="single" w:color="auto" w:sz="4" w:space="0"/>
            </w:tcBorders>
            <w:shd w:val="clear"/>
            <w:tcMar>
              <w:left w:w="57" w:type="dxa"/>
              <w:right w:w="57" w:type="dxa"/>
            </w:tcMar>
            <w:vAlign w:val="center"/>
          </w:tcPr>
          <w:p w14:paraId="7FEFF5B7">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（六）其他处理</w:t>
            </w:r>
          </w:p>
        </w:tc>
        <w:tc>
          <w:tcPr>
            <w:tcW w:w="4823" w:type="dxa"/>
            <w:tcBorders>
              <w:top w:val="single" w:color="auto" w:sz="4" w:space="0"/>
              <w:left w:val="nil"/>
              <w:bottom w:val="single" w:color="auto" w:sz="4" w:space="0"/>
              <w:right w:val="single" w:color="auto" w:sz="4" w:space="0"/>
            </w:tcBorders>
            <w:shd w:val="clear"/>
            <w:tcMar>
              <w:left w:w="57" w:type="dxa"/>
              <w:right w:w="57" w:type="dxa"/>
            </w:tcMar>
            <w:vAlign w:val="center"/>
          </w:tcPr>
          <w:p w14:paraId="43D0435B">
            <w:pPr>
              <w:keepNext w:val="0"/>
              <w:keepLines w:val="0"/>
              <w:widowControl/>
              <w:suppressLineNumbers w:val="0"/>
              <w:spacing w:before="0" w:beforeAutospacing="0" w:after="0" w:afterAutospacing="0" w:line="400" w:lineRule="exact"/>
              <w:ind w:left="0" w:right="0" w:firstLine="0" w:firstLineChars="0"/>
              <w:jc w:val="both"/>
            </w:pPr>
            <w:r>
              <w:rPr>
                <w:rFonts w:hint="default" w:ascii="楷体_GB2312" w:eastAsia="楷体_GB2312" w:cs="楷体_GB2312" w:hAnsiTheme="minorHAnsi"/>
                <w:b/>
                <w:bCs/>
                <w:kern w:val="0"/>
                <w:sz w:val="32"/>
                <w:szCs w:val="32"/>
                <w:bdr w:val="none" w:color="auto" w:sz="0" w:space="0"/>
                <w:lang w:val="en-US" w:eastAsia="zh-CN" w:bidi="ar"/>
              </w:rPr>
              <w:t>1.申请人无正当理由逾期不补正、行政机关不再处理其政府信息公开申请</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14:paraId="5E860F0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14:paraId="0FCA59E1">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14:paraId="7872488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14:paraId="75A320B2">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14:paraId="30F3BE87">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14:paraId="6EB1DF37">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center"/>
          </w:tcPr>
          <w:p w14:paraId="62FC99DA">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371992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24B79E08">
            <w:pPr>
              <w:rPr>
                <w:rFonts w:hint="eastAsia" w:ascii="宋体"/>
                <w:sz w:val="24"/>
                <w:szCs w:val="24"/>
              </w:rPr>
            </w:pPr>
          </w:p>
        </w:tc>
        <w:tc>
          <w:tcPr>
            <w:tcW w:w="997" w:type="dxa"/>
            <w:vMerge w:val="continue"/>
            <w:tcBorders>
              <w:top w:val="nil"/>
              <w:left w:val="nil"/>
              <w:bottom w:val="single" w:color="auto" w:sz="4" w:space="0"/>
              <w:right w:val="single" w:color="auto" w:sz="4" w:space="0"/>
            </w:tcBorders>
            <w:shd w:val="clear"/>
            <w:tcMar>
              <w:left w:w="57" w:type="dxa"/>
              <w:right w:w="57" w:type="dxa"/>
            </w:tcMar>
            <w:vAlign w:val="center"/>
          </w:tcPr>
          <w:p w14:paraId="0E6DA5FA">
            <w:pPr>
              <w:rPr>
                <w:rFonts w:hint="eastAsia" w:ascii="宋体"/>
                <w:sz w:val="24"/>
                <w:szCs w:val="24"/>
              </w:rPr>
            </w:pPr>
          </w:p>
        </w:tc>
        <w:tc>
          <w:tcPr>
            <w:tcW w:w="4823" w:type="dxa"/>
            <w:tcBorders>
              <w:top w:val="single" w:color="auto" w:sz="4" w:space="0"/>
              <w:left w:val="nil"/>
              <w:bottom w:val="single" w:color="auto" w:sz="4" w:space="0"/>
              <w:right w:val="single" w:color="auto" w:sz="4" w:space="0"/>
            </w:tcBorders>
            <w:shd w:val="clear"/>
            <w:tcMar>
              <w:left w:w="57" w:type="dxa"/>
              <w:right w:w="57" w:type="dxa"/>
            </w:tcMar>
            <w:vAlign w:val="center"/>
          </w:tcPr>
          <w:p w14:paraId="1E31D0E5">
            <w:pPr>
              <w:keepNext w:val="0"/>
              <w:keepLines w:val="0"/>
              <w:widowControl/>
              <w:suppressLineNumbers w:val="0"/>
              <w:spacing w:before="0" w:beforeAutospacing="0" w:after="0" w:afterAutospacing="0" w:line="400" w:lineRule="exact"/>
              <w:ind w:left="0" w:right="0" w:firstLine="0" w:firstLineChars="0"/>
              <w:jc w:val="both"/>
            </w:pPr>
            <w:r>
              <w:rPr>
                <w:rFonts w:hint="default" w:ascii="楷体_GB2312" w:eastAsia="楷体_GB2312" w:cs="楷体_GB2312" w:hAnsiTheme="minorHAnsi"/>
                <w:b/>
                <w:bCs/>
                <w:kern w:val="0"/>
                <w:sz w:val="32"/>
                <w:szCs w:val="32"/>
                <w:bdr w:val="none" w:color="auto" w:sz="0" w:space="0"/>
                <w:lang w:val="en-US" w:eastAsia="zh-CN" w:bidi="ar"/>
              </w:rPr>
              <w:t>2.申请人逾期未按收费通知要求缴纳费用、行政机关不再处理其政府信息公开申请</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14:paraId="7470A539">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14:paraId="637D6B3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14:paraId="7470533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14:paraId="23B29690">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14:paraId="6A981EE7">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14:paraId="5E58FD2E">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center"/>
          </w:tcPr>
          <w:p w14:paraId="69DDA4A9">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2903ED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49A65D58">
            <w:pPr>
              <w:rPr>
                <w:rFonts w:hint="eastAsia" w:ascii="宋体"/>
                <w:sz w:val="24"/>
                <w:szCs w:val="24"/>
              </w:rPr>
            </w:pPr>
          </w:p>
        </w:tc>
        <w:tc>
          <w:tcPr>
            <w:tcW w:w="997" w:type="dxa"/>
            <w:vMerge w:val="continue"/>
            <w:tcBorders>
              <w:top w:val="nil"/>
              <w:left w:val="nil"/>
              <w:bottom w:val="single" w:color="auto" w:sz="4" w:space="0"/>
              <w:right w:val="single" w:color="auto" w:sz="4" w:space="0"/>
            </w:tcBorders>
            <w:shd w:val="clear"/>
            <w:tcMar>
              <w:left w:w="57" w:type="dxa"/>
              <w:right w:w="57" w:type="dxa"/>
            </w:tcMar>
            <w:vAlign w:val="center"/>
          </w:tcPr>
          <w:p w14:paraId="55345B01">
            <w:pPr>
              <w:rPr>
                <w:rFonts w:hint="eastAsia" w:ascii="宋体"/>
                <w:sz w:val="24"/>
                <w:szCs w:val="24"/>
              </w:rPr>
            </w:pPr>
          </w:p>
        </w:tc>
        <w:tc>
          <w:tcPr>
            <w:tcW w:w="4823" w:type="dxa"/>
            <w:tcBorders>
              <w:top w:val="single" w:color="auto" w:sz="4" w:space="0"/>
              <w:left w:val="nil"/>
              <w:bottom w:val="single" w:color="auto" w:sz="4" w:space="0"/>
              <w:right w:val="single" w:color="auto" w:sz="4" w:space="0"/>
            </w:tcBorders>
            <w:shd w:val="clear"/>
            <w:tcMar>
              <w:left w:w="57" w:type="dxa"/>
              <w:right w:w="57" w:type="dxa"/>
            </w:tcMar>
            <w:vAlign w:val="center"/>
          </w:tcPr>
          <w:p w14:paraId="29F8135B">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3.其他</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14:paraId="27F42AF0">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14:paraId="0B6B31C6">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14:paraId="256E73E8">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14:paraId="67FAD2F5">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14:paraId="057FF7AC">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14:paraId="7673D2E9">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center"/>
          </w:tcPr>
          <w:p w14:paraId="0BF69C3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599F51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left w:w="57" w:type="dxa"/>
              <w:right w:w="57" w:type="dxa"/>
            </w:tcMar>
            <w:vAlign w:val="center"/>
          </w:tcPr>
          <w:p w14:paraId="078C3293">
            <w:pPr>
              <w:rPr>
                <w:rFonts w:hint="eastAsia" w:ascii="宋体"/>
                <w:sz w:val="24"/>
                <w:szCs w:val="24"/>
              </w:rPr>
            </w:pPr>
          </w:p>
        </w:tc>
        <w:tc>
          <w:tcPr>
            <w:tcW w:w="5820" w:type="dxa"/>
            <w:gridSpan w:val="2"/>
            <w:tcBorders>
              <w:top w:val="single" w:color="auto" w:sz="4" w:space="0"/>
              <w:left w:val="nil"/>
              <w:bottom w:val="single" w:color="auto" w:sz="4" w:space="0"/>
              <w:right w:val="single" w:color="auto" w:sz="4" w:space="0"/>
            </w:tcBorders>
            <w:shd w:val="clear"/>
            <w:tcMar>
              <w:left w:w="57" w:type="dxa"/>
              <w:right w:w="57" w:type="dxa"/>
            </w:tcMar>
            <w:vAlign w:val="center"/>
          </w:tcPr>
          <w:p w14:paraId="687C8F90">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（七）总计</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14:paraId="0F711D29">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14:paraId="6A67C60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14:paraId="4D6F00CC">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14:paraId="379E1D7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14:paraId="79CDDF21">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14:paraId="26C9571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center"/>
          </w:tcPr>
          <w:p w14:paraId="617B63C4">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5BDB47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tcMar>
              <w:left w:w="57" w:type="dxa"/>
              <w:right w:w="57" w:type="dxa"/>
            </w:tcMar>
            <w:vAlign w:val="center"/>
          </w:tcPr>
          <w:p w14:paraId="13838E55">
            <w:pPr>
              <w:keepNext w:val="0"/>
              <w:keepLines w:val="0"/>
              <w:widowControl/>
              <w:suppressLineNumbers w:val="0"/>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bdr w:val="none" w:color="auto" w:sz="0" w:space="0"/>
                <w:lang w:val="en-US" w:eastAsia="zh-CN" w:bidi="ar"/>
              </w:rPr>
              <w:t>四、结转下年度继续办理</w:t>
            </w:r>
          </w:p>
        </w:tc>
        <w:tc>
          <w:tcPr>
            <w:tcW w:w="439" w:type="dxa"/>
            <w:tcBorders>
              <w:top w:val="single" w:color="auto" w:sz="4" w:space="0"/>
              <w:left w:val="nil"/>
              <w:bottom w:val="single" w:color="auto" w:sz="4" w:space="0"/>
              <w:right w:val="single" w:color="auto" w:sz="4" w:space="0"/>
            </w:tcBorders>
            <w:shd w:val="clear"/>
            <w:tcMar>
              <w:left w:w="57" w:type="dxa"/>
              <w:right w:w="57" w:type="dxa"/>
            </w:tcMar>
            <w:vAlign w:val="center"/>
          </w:tcPr>
          <w:p w14:paraId="2FA52E2A">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single" w:color="auto" w:sz="4" w:space="0"/>
              <w:left w:val="nil"/>
              <w:bottom w:val="single" w:color="auto" w:sz="4" w:space="0"/>
              <w:right w:val="single" w:color="auto" w:sz="4" w:space="0"/>
            </w:tcBorders>
            <w:shd w:val="clear"/>
            <w:tcMar>
              <w:left w:w="57" w:type="dxa"/>
              <w:right w:w="57" w:type="dxa"/>
            </w:tcMar>
            <w:vAlign w:val="center"/>
          </w:tcPr>
          <w:p w14:paraId="36496496">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single" w:color="auto" w:sz="4" w:space="0"/>
              <w:left w:val="nil"/>
              <w:bottom w:val="single" w:color="auto" w:sz="4" w:space="0"/>
              <w:right w:val="single" w:color="auto" w:sz="4" w:space="0"/>
            </w:tcBorders>
            <w:shd w:val="clear"/>
            <w:tcMar>
              <w:left w:w="57" w:type="dxa"/>
              <w:right w:w="57" w:type="dxa"/>
            </w:tcMar>
            <w:vAlign w:val="center"/>
          </w:tcPr>
          <w:p w14:paraId="4B038123">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single" w:color="auto" w:sz="4" w:space="0"/>
              <w:left w:val="nil"/>
              <w:bottom w:val="single" w:color="auto" w:sz="4" w:space="0"/>
              <w:right w:val="single" w:color="auto" w:sz="4" w:space="0"/>
            </w:tcBorders>
            <w:shd w:val="clear"/>
            <w:tcMar>
              <w:left w:w="57" w:type="dxa"/>
              <w:right w:w="57" w:type="dxa"/>
            </w:tcMar>
            <w:vAlign w:val="center"/>
          </w:tcPr>
          <w:p w14:paraId="635EA1BB">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single" w:color="auto" w:sz="4" w:space="0"/>
              <w:left w:val="nil"/>
              <w:bottom w:val="single" w:color="auto" w:sz="4" w:space="0"/>
              <w:right w:val="single" w:color="auto" w:sz="4" w:space="0"/>
            </w:tcBorders>
            <w:shd w:val="clear"/>
            <w:tcMar>
              <w:left w:w="57" w:type="dxa"/>
              <w:right w:w="57" w:type="dxa"/>
            </w:tcMar>
            <w:vAlign w:val="center"/>
          </w:tcPr>
          <w:p w14:paraId="6046E48D">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single" w:color="auto" w:sz="4" w:space="0"/>
              <w:left w:val="nil"/>
              <w:bottom w:val="single" w:color="auto" w:sz="4" w:space="0"/>
              <w:right w:val="single" w:color="auto" w:sz="4" w:space="0"/>
            </w:tcBorders>
            <w:shd w:val="clear"/>
            <w:tcMar>
              <w:left w:w="57" w:type="dxa"/>
              <w:right w:w="57" w:type="dxa"/>
            </w:tcMar>
            <w:vAlign w:val="center"/>
          </w:tcPr>
          <w:p w14:paraId="77352E2F">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single" w:color="auto" w:sz="4" w:space="0"/>
              <w:left w:val="nil"/>
              <w:bottom w:val="single" w:color="auto" w:sz="4" w:space="0"/>
              <w:right w:val="single" w:color="auto" w:sz="4" w:space="0"/>
            </w:tcBorders>
            <w:shd w:val="clear"/>
            <w:tcMar>
              <w:left w:w="57" w:type="dxa"/>
              <w:right w:w="57" w:type="dxa"/>
            </w:tcMar>
            <w:vAlign w:val="center"/>
          </w:tcPr>
          <w:p w14:paraId="7B8D6809">
            <w:pPr>
              <w:keepNext w:val="0"/>
              <w:keepLines w:val="0"/>
              <w:widowControl/>
              <w:suppressLineNumbers w:val="0"/>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bdr w:val="none" w:color="auto" w:sz="0" w:space="0"/>
                <w:lang w:val="en-US" w:eastAsia="zh-CN" w:bidi="ar"/>
              </w:rPr>
              <w:t>0 </w:t>
            </w:r>
          </w:p>
        </w:tc>
      </w:tr>
    </w:tbl>
    <w:p w14:paraId="2DB3904F">
      <w:pPr>
        <w:keepNext w:val="0"/>
        <w:keepLines w:val="0"/>
        <w:widowControl w:val="0"/>
        <w:suppressLineNumbers w:val="0"/>
        <w:spacing w:before="0" w:beforeAutospacing="1" w:after="0" w:afterAutospacing="1"/>
        <w:ind w:left="0" w:leftChars="0" w:right="0" w:firstLine="640" w:firstLineChars="200"/>
        <w:jc w:val="left"/>
      </w:pPr>
      <w:r>
        <w:rPr>
          <w:rFonts w:hint="eastAsia" w:ascii="黑体" w:hAnsi="宋体" w:eastAsia="黑体" w:cs="黑体"/>
          <w:b w:val="0"/>
          <w:bCs w:val="0"/>
          <w:kern w:val="2"/>
          <w:sz w:val="32"/>
          <w:szCs w:val="32"/>
          <w:shd w:val="clear" w:fill="FFFFFF"/>
          <w:lang w:val="en-US" w:eastAsia="zh-CN" w:bidi="ar"/>
        </w:rPr>
        <w:t>四、政府信息公开行政复议、行政诉讼情况</w:t>
      </w:r>
    </w:p>
    <w:tbl>
      <w:tblPr>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41969D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14:paraId="75D9123C">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行政复议</w:t>
            </w:r>
          </w:p>
        </w:tc>
        <w:tc>
          <w:tcPr>
            <w:tcW w:w="6428" w:type="dxa"/>
            <w:gridSpan w:val="10"/>
            <w:tcBorders>
              <w:top w:val="single" w:color="auto" w:sz="8" w:space="0"/>
              <w:left w:val="nil"/>
              <w:bottom w:val="single" w:color="auto" w:sz="8" w:space="0"/>
              <w:right w:val="single" w:color="auto" w:sz="8" w:space="0"/>
            </w:tcBorders>
            <w:shd w:val="clear"/>
            <w:tcMar>
              <w:left w:w="108" w:type="dxa"/>
              <w:right w:w="108" w:type="dxa"/>
            </w:tcMar>
            <w:vAlign w:val="center"/>
          </w:tcPr>
          <w:p w14:paraId="37257E99">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行政诉讼</w:t>
            </w:r>
          </w:p>
        </w:tc>
      </w:tr>
      <w:tr w14:paraId="42C026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64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14:paraId="352ED887">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结果维持</w:t>
            </w:r>
          </w:p>
        </w:tc>
        <w:tc>
          <w:tcPr>
            <w:tcW w:w="642" w:type="dxa"/>
            <w:vMerge w:val="restart"/>
            <w:tcBorders>
              <w:top w:val="nil"/>
              <w:left w:val="nil"/>
              <w:bottom w:val="single" w:color="auto" w:sz="8" w:space="0"/>
              <w:right w:val="single" w:color="auto" w:sz="8" w:space="0"/>
            </w:tcBorders>
            <w:shd w:val="clear"/>
            <w:tcMar>
              <w:left w:w="108" w:type="dxa"/>
              <w:right w:w="108" w:type="dxa"/>
            </w:tcMar>
            <w:vAlign w:val="center"/>
          </w:tcPr>
          <w:p w14:paraId="7958C153">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纠正</w:t>
            </w:r>
          </w:p>
        </w:tc>
        <w:tc>
          <w:tcPr>
            <w:tcW w:w="642"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14:paraId="38343776">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其他</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结果</w:t>
            </w:r>
          </w:p>
        </w:tc>
        <w:tc>
          <w:tcPr>
            <w:tcW w:w="642"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14:paraId="71C7CB5B">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尚未</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审结</w:t>
            </w:r>
          </w:p>
        </w:tc>
        <w:tc>
          <w:tcPr>
            <w:tcW w:w="642"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14:paraId="7BB42373">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总计</w:t>
            </w:r>
          </w:p>
        </w:tc>
        <w:tc>
          <w:tcPr>
            <w:tcW w:w="3213"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14:paraId="7BAD0658">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未经复议直接起诉</w:t>
            </w:r>
          </w:p>
        </w:tc>
        <w:tc>
          <w:tcPr>
            <w:tcW w:w="3215"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14:paraId="4FE25A1B">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复议后起诉</w:t>
            </w:r>
          </w:p>
        </w:tc>
      </w:tr>
      <w:tr w14:paraId="0FEAC4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14:paraId="66F6243E">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tcMar>
              <w:left w:w="108" w:type="dxa"/>
              <w:right w:w="108" w:type="dxa"/>
            </w:tcMar>
            <w:vAlign w:val="center"/>
          </w:tcPr>
          <w:p w14:paraId="7C040D67">
            <w:pPr>
              <w:rPr>
                <w:rFonts w:hint="eastAsia" w:ascii="宋体"/>
                <w:sz w:val="24"/>
                <w:szCs w:val="24"/>
              </w:rPr>
            </w:pPr>
          </w:p>
        </w:tc>
        <w:tc>
          <w:tcPr>
            <w:tcW w:w="64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14:paraId="3147EF75">
            <w:pPr>
              <w:rPr>
                <w:rFonts w:hint="eastAsia" w:ascii="宋体"/>
                <w:sz w:val="24"/>
                <w:szCs w:val="24"/>
              </w:rPr>
            </w:pPr>
          </w:p>
        </w:tc>
        <w:tc>
          <w:tcPr>
            <w:tcW w:w="64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14:paraId="15542244">
            <w:pPr>
              <w:rPr>
                <w:rFonts w:hint="eastAsia" w:ascii="宋体"/>
                <w:sz w:val="24"/>
                <w:szCs w:val="24"/>
              </w:rPr>
            </w:pPr>
          </w:p>
        </w:tc>
        <w:tc>
          <w:tcPr>
            <w:tcW w:w="64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14:paraId="7A503ED8">
            <w:pPr>
              <w:rPr>
                <w:rFonts w:hint="eastAsia" w:ascii="宋体"/>
                <w:sz w:val="24"/>
                <w:szCs w:val="24"/>
              </w:rPr>
            </w:pP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64F5ED70">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维持</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29EEE723">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纠正</w:t>
            </w:r>
          </w:p>
        </w:tc>
        <w:tc>
          <w:tcPr>
            <w:tcW w:w="643"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3E6BF9E0">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其他</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结果</w:t>
            </w:r>
          </w:p>
        </w:tc>
        <w:tc>
          <w:tcPr>
            <w:tcW w:w="643"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6A4C88C7">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尚未</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审结</w:t>
            </w:r>
          </w:p>
        </w:tc>
        <w:tc>
          <w:tcPr>
            <w:tcW w:w="643"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1A9C1D05">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总计</w:t>
            </w:r>
          </w:p>
        </w:tc>
        <w:tc>
          <w:tcPr>
            <w:tcW w:w="643"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7F4EFCA4">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维持</w:t>
            </w:r>
          </w:p>
        </w:tc>
        <w:tc>
          <w:tcPr>
            <w:tcW w:w="643"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7C739523">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纠正</w:t>
            </w:r>
          </w:p>
        </w:tc>
        <w:tc>
          <w:tcPr>
            <w:tcW w:w="643"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71C27B21">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其他</w:t>
            </w:r>
            <w:r>
              <w:rPr>
                <w:rFonts w:hint="default" w:ascii="楷体_GB2312" w:eastAsia="楷体_GB2312" w:cs="楷体_GB2312" w:hAnsiTheme="minorHAnsi"/>
                <w:b/>
                <w:bCs/>
                <w:color w:val="000000"/>
                <w:kern w:val="0"/>
                <w:sz w:val="32"/>
                <w:szCs w:val="32"/>
                <w:bdr w:val="none" w:color="auto" w:sz="0" w:space="0"/>
                <w:lang w:val="en-US" w:eastAsia="zh-CN" w:bidi="ar"/>
              </w:rPr>
              <w:br w:type="textWrapping"/>
            </w:r>
            <w:r>
              <w:rPr>
                <w:rFonts w:hint="default" w:ascii="楷体_GB2312" w:eastAsia="楷体_GB2312" w:cs="楷体_GB2312" w:hAnsiTheme="minorHAnsi"/>
                <w:b/>
                <w:bCs/>
                <w:color w:val="000000"/>
                <w:kern w:val="0"/>
                <w:sz w:val="32"/>
                <w:szCs w:val="32"/>
                <w:bdr w:val="none" w:color="auto" w:sz="0" w:space="0"/>
                <w:lang w:val="en-US" w:eastAsia="zh-CN" w:bidi="ar"/>
              </w:rPr>
              <w:t>结果</w:t>
            </w:r>
          </w:p>
        </w:tc>
        <w:tc>
          <w:tcPr>
            <w:tcW w:w="643"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46E6194D">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bdr w:val="none" w:color="auto" w:sz="0" w:space="0"/>
                <w:lang w:val="en-US" w:eastAsia="zh-CN" w:bidi="ar"/>
              </w:rPr>
              <w:t>尚未</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审结</w:t>
            </w:r>
          </w:p>
        </w:tc>
        <w:tc>
          <w:tcPr>
            <w:tcW w:w="643"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3402128F">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color w:val="000000"/>
                <w:kern w:val="0"/>
                <w:sz w:val="32"/>
                <w:szCs w:val="32"/>
                <w:bdr w:val="none" w:color="auto" w:sz="0" w:space="0"/>
                <w:lang w:val="en-US" w:eastAsia="zh-CN" w:bidi="ar"/>
              </w:rPr>
              <w:t>总计</w:t>
            </w:r>
          </w:p>
        </w:tc>
      </w:tr>
      <w:tr w14:paraId="15DCD78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54B777D9">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27453E08">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5FDE5A09">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0B8C4473">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227B9427">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2766B874">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0 </w:t>
            </w:r>
          </w:p>
        </w:tc>
        <w:tc>
          <w:tcPr>
            <w:tcW w:w="642" w:type="dxa"/>
            <w:tcBorders>
              <w:top w:val="nil"/>
              <w:left w:val="nil"/>
              <w:bottom w:val="single" w:color="auto" w:sz="8" w:space="0"/>
              <w:right w:val="single" w:color="auto" w:sz="8" w:space="0"/>
            </w:tcBorders>
            <w:shd w:val="clear"/>
            <w:tcMar>
              <w:left w:w="108" w:type="dxa"/>
              <w:right w:w="108" w:type="dxa"/>
            </w:tcMar>
            <w:vAlign w:val="center"/>
          </w:tcPr>
          <w:p w14:paraId="66F228B1">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0 </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3BD70F83">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0 </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391D23BD">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4181618A">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2480B90E">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72EB7417">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3D1762CA">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54076F58">
            <w:pPr>
              <w:keepNext w:val="0"/>
              <w:keepLines w:val="0"/>
              <w:widowControl/>
              <w:suppressLineNumbers w:val="0"/>
              <w:spacing w:before="0" w:beforeAutospacing="0" w:after="0" w:afterAutospacing="0"/>
              <w:ind w:left="0" w:right="0" w:firstLine="0" w:firstLineChars="0"/>
              <w:jc w:val="center"/>
            </w:pPr>
            <w:r>
              <w:rPr>
                <w:rFonts w:hint="default" w:ascii="仿宋_GB2312" w:eastAsia="仿宋_GB2312" w:cs="仿宋_GB2312" w:hAnsiTheme="minorHAnsi"/>
                <w:kern w:val="0"/>
                <w:sz w:val="24"/>
                <w:szCs w:val="24"/>
                <w:bdr w:val="none" w:color="auto" w:sz="0" w:space="0"/>
                <w:lang w:val="en-US" w:eastAsia="zh-CN" w:bidi="ar"/>
              </w:rPr>
              <w:t>0 </w:t>
            </w:r>
          </w:p>
        </w:tc>
        <w:tc>
          <w:tcPr>
            <w:tcW w:w="643" w:type="dxa"/>
            <w:tcBorders>
              <w:top w:val="nil"/>
              <w:left w:val="nil"/>
              <w:bottom w:val="single" w:color="auto" w:sz="8" w:space="0"/>
              <w:right w:val="single" w:color="auto" w:sz="8" w:space="0"/>
            </w:tcBorders>
            <w:shd w:val="clear"/>
            <w:tcMar>
              <w:left w:w="108" w:type="dxa"/>
              <w:right w:w="108" w:type="dxa"/>
            </w:tcMar>
            <w:vAlign w:val="center"/>
          </w:tcPr>
          <w:p w14:paraId="03F83318">
            <w:pPr>
              <w:keepNext w:val="0"/>
              <w:keepLines w:val="0"/>
              <w:widowControl/>
              <w:suppressLineNumbers w:val="0"/>
              <w:spacing w:before="0" w:beforeAutospacing="1" w:after="0" w:afterAutospacing="1"/>
              <w:ind w:left="0" w:right="0" w:firstLine="0" w:firstLineChars="0"/>
              <w:jc w:val="left"/>
            </w:pPr>
            <w:r>
              <w:rPr>
                <w:rFonts w:hint="default" w:ascii="仿宋_GB2312" w:eastAsia="仿宋_GB2312" w:cs="仿宋_GB2312" w:hAnsiTheme="minorHAnsi"/>
                <w:kern w:val="2"/>
                <w:sz w:val="24"/>
                <w:szCs w:val="24"/>
                <w:bdr w:val="none" w:color="auto" w:sz="0" w:space="0"/>
                <w:lang w:val="en-US" w:eastAsia="zh-CN" w:bidi="ar"/>
              </w:rPr>
              <w:t>0</w:t>
            </w:r>
          </w:p>
        </w:tc>
      </w:tr>
    </w:tbl>
    <w:p w14:paraId="7D44D782">
      <w:pPr>
        <w:keepNext w:val="0"/>
        <w:keepLines w:val="0"/>
        <w:widowControl/>
        <w:suppressLineNumbers w:val="0"/>
        <w:spacing w:before="0" w:beforeAutospacing="1" w:after="0" w:afterAutospacing="1"/>
        <w:ind w:left="0" w:right="0" w:firstLine="0" w:firstLineChars="0"/>
        <w:jc w:val="left"/>
      </w:pPr>
      <w:r>
        <w:rPr>
          <w:rFonts w:ascii="Calibri" w:hAnsi="Calibri" w:eastAsia="宋体" w:cs="Times New Roman"/>
          <w:kern w:val="2"/>
          <w:sz w:val="21"/>
          <w:szCs w:val="21"/>
          <w:lang w:val="en-US" w:eastAsia="zh-CN" w:bidi="ar"/>
        </w:rPr>
        <w:t> </w:t>
      </w:r>
    </w:p>
    <w:p w14:paraId="05BDF49B">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宋体" w:eastAsia="黑体" w:cs="黑体"/>
          <w:b w:val="0"/>
          <w:bCs w:val="0"/>
          <w:kern w:val="2"/>
          <w:sz w:val="32"/>
          <w:szCs w:val="32"/>
          <w:bdr w:val="none" w:color="auto" w:sz="0" w:space="0"/>
          <w:shd w:val="clear" w:fill="FFFFFF"/>
          <w:lang w:val="en-US" w:eastAsia="zh-CN" w:bidi="ar"/>
        </w:rPr>
      </w:pPr>
      <w:r>
        <w:rPr>
          <w:rFonts w:hint="eastAsia" w:ascii="黑体" w:hAnsi="宋体" w:eastAsia="黑体" w:cs="黑体"/>
          <w:b w:val="0"/>
          <w:bCs w:val="0"/>
          <w:kern w:val="2"/>
          <w:sz w:val="32"/>
          <w:szCs w:val="32"/>
          <w:bdr w:val="none" w:color="auto" w:sz="0" w:space="0"/>
          <w:shd w:val="clear" w:fill="FFFFFF"/>
          <w:lang w:val="en-US" w:eastAsia="zh-CN" w:bidi="ar"/>
        </w:rPr>
        <w:t>存在的主要问题及改进情况</w:t>
      </w:r>
    </w:p>
    <w:p w14:paraId="43E5AA21">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rPr>
          <w:rFonts w:hint="eastAsia" w:ascii="楷体_GB2312" w:eastAsia="楷体_GB2312" w:cs="楷体_GB2312"/>
          <w:b w:val="0"/>
          <w:bCs w:val="0"/>
          <w:i w:val="0"/>
          <w:caps w:val="0"/>
          <w:color w:val="000000"/>
          <w:spacing w:val="0"/>
          <w:kern w:val="0"/>
          <w:sz w:val="32"/>
          <w:szCs w:val="32"/>
          <w:shd w:val="clear" w:fill="FFFFFF"/>
          <w:lang w:val="en-US" w:eastAsia="zh-CN" w:bidi="ar"/>
        </w:rPr>
      </w:pPr>
      <w:r>
        <w:rPr>
          <w:rFonts w:hint="eastAsia" w:ascii="楷体_GB2312" w:eastAsia="楷体_GB2312" w:cs="楷体_GB2312"/>
          <w:b w:val="0"/>
          <w:bCs w:val="0"/>
          <w:i w:val="0"/>
          <w:caps w:val="0"/>
          <w:color w:val="000000"/>
          <w:spacing w:val="0"/>
          <w:kern w:val="0"/>
          <w:sz w:val="32"/>
          <w:szCs w:val="32"/>
          <w:shd w:val="clear" w:fill="FFFFFF"/>
          <w:lang w:val="en-US" w:eastAsia="zh-CN" w:bidi="ar"/>
        </w:rPr>
        <w:t>（一）存在的主要问题：</w:t>
      </w:r>
    </w:p>
    <w:p w14:paraId="16373E20">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方正仿宋_GB2312" w:hAnsi="方正仿宋_GB2312" w:eastAsia="方正仿宋_GB2312" w:cs="方正仿宋_GB2312"/>
          <w:b w:val="0"/>
          <w:bCs w:val="0"/>
          <w:kern w:val="2"/>
          <w:sz w:val="32"/>
          <w:szCs w:val="32"/>
          <w:bdr w:val="none" w:color="auto" w:sz="0" w:space="0"/>
          <w:shd w:val="clear" w:fill="FFFFFF"/>
          <w:lang w:val="en-US" w:eastAsia="zh-CN" w:bidi="ar"/>
        </w:rPr>
      </w:pPr>
      <w:r>
        <w:rPr>
          <w:rFonts w:hint="eastAsia" w:ascii="方正仿宋_GB2312" w:hAnsi="方正仿宋_GB2312" w:eastAsia="方正仿宋_GB2312" w:cs="方正仿宋_GB2312"/>
          <w:b w:val="0"/>
          <w:bCs w:val="0"/>
          <w:kern w:val="2"/>
          <w:sz w:val="32"/>
          <w:szCs w:val="32"/>
          <w:bdr w:val="none" w:color="auto" w:sz="0" w:space="0"/>
          <w:shd w:val="clear" w:fill="FFFFFF"/>
          <w:lang w:val="en-US" w:eastAsia="zh-CN" w:bidi="ar"/>
        </w:rPr>
        <w:t>1. 政策解读的形式和内容有待进一步丰富和深化，针对性和可读性需持续增强。</w:t>
      </w:r>
    </w:p>
    <w:p w14:paraId="208418E4">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方正仿宋_GB2312" w:hAnsi="方正仿宋_GB2312" w:eastAsia="方正仿宋_GB2312" w:cs="方正仿宋_GB2312"/>
          <w:b w:val="0"/>
          <w:bCs w:val="0"/>
          <w:kern w:val="2"/>
          <w:sz w:val="32"/>
          <w:szCs w:val="32"/>
          <w:bdr w:val="none" w:color="auto" w:sz="0" w:space="0"/>
          <w:shd w:val="clear" w:fill="FFFFFF"/>
          <w:lang w:val="en-US" w:eastAsia="zh-CN" w:bidi="ar"/>
        </w:rPr>
      </w:pPr>
      <w:r>
        <w:rPr>
          <w:rFonts w:hint="eastAsia" w:ascii="方正仿宋_GB2312" w:hAnsi="方正仿宋_GB2312" w:eastAsia="方正仿宋_GB2312" w:cs="方正仿宋_GB2312"/>
          <w:b w:val="0"/>
          <w:bCs w:val="0"/>
          <w:kern w:val="2"/>
          <w:sz w:val="32"/>
          <w:szCs w:val="32"/>
          <w:bdr w:val="none" w:color="auto" w:sz="0" w:space="0"/>
          <w:shd w:val="clear" w:fill="FFFFFF"/>
          <w:lang w:val="en-US" w:eastAsia="zh-CN" w:bidi="ar"/>
        </w:rPr>
        <w:t>2. 政务新媒体与政府网站信息联动发布和协同服务能力有待提升。</w:t>
      </w:r>
    </w:p>
    <w:p w14:paraId="26FA93A7">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方正仿宋_GB2312" w:hAnsi="方正仿宋_GB2312" w:eastAsia="方正仿宋_GB2312" w:cs="方正仿宋_GB2312"/>
          <w:b w:val="0"/>
          <w:bCs w:val="0"/>
          <w:kern w:val="2"/>
          <w:sz w:val="32"/>
          <w:szCs w:val="32"/>
          <w:bdr w:val="none" w:color="auto" w:sz="0" w:space="0"/>
          <w:shd w:val="clear" w:fill="FFFFFF"/>
          <w:lang w:val="en-US" w:eastAsia="zh-CN" w:bidi="ar"/>
        </w:rPr>
      </w:pPr>
      <w:r>
        <w:rPr>
          <w:rFonts w:hint="eastAsia" w:ascii="方正仿宋_GB2312" w:hAnsi="方正仿宋_GB2312" w:eastAsia="方正仿宋_GB2312" w:cs="方正仿宋_GB2312"/>
          <w:b w:val="0"/>
          <w:bCs w:val="0"/>
          <w:kern w:val="2"/>
          <w:sz w:val="32"/>
          <w:szCs w:val="32"/>
          <w:bdr w:val="none" w:color="auto" w:sz="0" w:space="0"/>
          <w:shd w:val="clear" w:fill="FFFFFF"/>
          <w:lang w:val="en-US" w:eastAsia="zh-CN" w:bidi="ar"/>
        </w:rPr>
        <w:t>3. 在利用数据开放、可视化等方式公开应急管理领域信息方面，探索和实践力度尚显不足。</w:t>
      </w:r>
    </w:p>
    <w:p w14:paraId="4B920A88">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leftChars="0" w:right="0" w:rightChars="0" w:firstLine="640" w:firstLineChars="200"/>
        <w:jc w:val="both"/>
        <w:rPr>
          <w:rFonts w:hint="eastAsia" w:ascii="楷体_GB2312" w:eastAsia="楷体_GB2312" w:cs="楷体_GB2312"/>
          <w:b w:val="0"/>
          <w:bCs w:val="0"/>
          <w:i w:val="0"/>
          <w:caps w:val="0"/>
          <w:color w:val="000000"/>
          <w:spacing w:val="0"/>
          <w:kern w:val="0"/>
          <w:sz w:val="32"/>
          <w:szCs w:val="32"/>
          <w:shd w:val="clear" w:fill="FFFFFF"/>
          <w:lang w:val="en-US" w:eastAsia="zh-CN" w:bidi="ar"/>
        </w:rPr>
      </w:pPr>
      <w:r>
        <w:rPr>
          <w:rFonts w:hint="eastAsia" w:ascii="楷体_GB2312" w:eastAsia="楷体_GB2312" w:cs="楷体_GB2312"/>
          <w:b w:val="0"/>
          <w:bCs w:val="0"/>
          <w:i w:val="0"/>
          <w:caps w:val="0"/>
          <w:color w:val="000000"/>
          <w:spacing w:val="0"/>
          <w:kern w:val="0"/>
          <w:sz w:val="32"/>
          <w:szCs w:val="32"/>
          <w:shd w:val="clear" w:fill="FFFFFF"/>
          <w:lang w:val="en-US" w:eastAsia="zh-CN" w:bidi="ar"/>
        </w:rPr>
        <w:t>（二）改进情况</w:t>
      </w:r>
    </w:p>
    <w:p w14:paraId="35DB971B">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方正仿宋_GB2312" w:hAnsi="方正仿宋_GB2312" w:eastAsia="方正仿宋_GB2312" w:cs="方正仿宋_GB2312"/>
          <w:b w:val="0"/>
          <w:bCs w:val="0"/>
          <w:kern w:val="2"/>
          <w:sz w:val="32"/>
          <w:szCs w:val="32"/>
          <w:bdr w:val="none" w:color="auto" w:sz="0" w:space="0"/>
          <w:shd w:val="clear" w:fill="FFFFFF"/>
          <w:lang w:val="en-US" w:eastAsia="zh-CN" w:bidi="ar"/>
        </w:rPr>
      </w:pPr>
      <w:r>
        <w:rPr>
          <w:rFonts w:hint="eastAsia" w:ascii="方正仿宋_GB2312" w:hAnsi="方正仿宋_GB2312" w:eastAsia="方正仿宋_GB2312" w:cs="方正仿宋_GB2312"/>
          <w:b w:val="0"/>
          <w:bCs w:val="0"/>
          <w:kern w:val="2"/>
          <w:sz w:val="32"/>
          <w:szCs w:val="32"/>
          <w:bdr w:val="none" w:color="auto" w:sz="0" w:space="0"/>
          <w:shd w:val="clear" w:fill="FFFFFF"/>
          <w:lang w:val="en-US" w:eastAsia="zh-CN" w:bidi="ar"/>
        </w:rPr>
        <w:t>1. 针对解读短板，2026年将进一步规范解读流程，要求政策性文件与解读材料同步组织、同步审签、同步发布。</w:t>
      </w:r>
    </w:p>
    <w:p w14:paraId="2204AB29">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方正仿宋_GB2312" w:hAnsi="方正仿宋_GB2312" w:eastAsia="方正仿宋_GB2312" w:cs="方正仿宋_GB2312"/>
          <w:b w:val="0"/>
          <w:bCs w:val="0"/>
          <w:kern w:val="2"/>
          <w:sz w:val="32"/>
          <w:szCs w:val="32"/>
          <w:bdr w:val="none" w:color="auto" w:sz="0" w:space="0"/>
          <w:shd w:val="clear" w:fill="FFFFFF"/>
          <w:lang w:val="en-US" w:eastAsia="zh-CN" w:bidi="ar"/>
        </w:rPr>
      </w:pPr>
      <w:r>
        <w:rPr>
          <w:rFonts w:hint="eastAsia" w:ascii="方正仿宋_GB2312" w:hAnsi="方正仿宋_GB2312" w:eastAsia="方正仿宋_GB2312" w:cs="方正仿宋_GB2312"/>
          <w:b w:val="0"/>
          <w:bCs w:val="0"/>
          <w:kern w:val="2"/>
          <w:sz w:val="32"/>
          <w:szCs w:val="32"/>
          <w:bdr w:val="none" w:color="auto" w:sz="0" w:space="0"/>
          <w:shd w:val="clear" w:fill="FFFFFF"/>
          <w:lang w:val="en-US" w:eastAsia="zh-CN" w:bidi="ar"/>
        </w:rPr>
        <w:t>2. 优化了局网站与政务新媒体信息同步机制，明确了重要信息一键分发流程。加强了新媒体内容策划，提升了互动服务功能。</w:t>
      </w:r>
    </w:p>
    <w:p w14:paraId="2D8AC9EF">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黑体" w:hAnsi="宋体" w:eastAsia="黑体" w:cs="黑体"/>
          <w:b w:val="0"/>
          <w:bCs w:val="0"/>
          <w:kern w:val="2"/>
          <w:sz w:val="32"/>
          <w:szCs w:val="32"/>
          <w:bdr w:val="none" w:color="auto" w:sz="0" w:space="0"/>
          <w:shd w:val="clear" w:fill="FFFFFF"/>
          <w:lang w:val="en-US" w:eastAsia="zh-CN" w:bidi="ar"/>
        </w:rPr>
      </w:pPr>
      <w:r>
        <w:rPr>
          <w:rFonts w:hint="eastAsia" w:ascii="方正仿宋_GB2312" w:hAnsi="方正仿宋_GB2312" w:eastAsia="方正仿宋_GB2312" w:cs="方正仿宋_GB2312"/>
          <w:b w:val="0"/>
          <w:bCs w:val="0"/>
          <w:kern w:val="2"/>
          <w:sz w:val="32"/>
          <w:szCs w:val="32"/>
          <w:bdr w:val="none" w:color="auto" w:sz="0" w:space="0"/>
          <w:shd w:val="clear" w:fill="FFFFFF"/>
          <w:lang w:val="en-US" w:eastAsia="zh-CN" w:bidi="ar"/>
        </w:rPr>
        <w:t>3. 启动了应急管理相关数据资源目录梳理工作，为下一步有条件开放数据、创新公开形式奠定了基础。已尝试制作发布安全生产形势、自然灾害风险等专题数据图表。</w:t>
      </w:r>
    </w:p>
    <w:p w14:paraId="041D49D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宋体" w:eastAsia="黑体" w:cs="黑体"/>
          <w:b w:val="0"/>
          <w:bCs w:val="0"/>
          <w:kern w:val="2"/>
          <w:sz w:val="32"/>
          <w:szCs w:val="32"/>
          <w:bdr w:val="none" w:color="auto" w:sz="0" w:space="0"/>
          <w:shd w:val="clear" w:fill="FFFFFF"/>
          <w:lang w:val="en-US" w:eastAsia="zh-CN" w:bidi="ar"/>
        </w:rPr>
      </w:pPr>
      <w:r>
        <w:rPr>
          <w:rFonts w:hint="eastAsia" w:ascii="黑体" w:hAnsi="宋体" w:eastAsia="黑体" w:cs="黑体"/>
          <w:b w:val="0"/>
          <w:bCs w:val="0"/>
          <w:kern w:val="2"/>
          <w:sz w:val="32"/>
          <w:szCs w:val="32"/>
          <w:bdr w:val="none" w:color="auto" w:sz="0" w:space="0"/>
          <w:shd w:val="clear" w:fill="FFFFFF"/>
          <w:lang w:val="en-US" w:eastAsia="zh-CN" w:bidi="ar"/>
        </w:rPr>
        <w:t>六、其他需要报告的事项</w:t>
      </w:r>
    </w:p>
    <w:p w14:paraId="628F67D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hint="default" w:ascii="仿宋_GB2312" w:eastAsia="仿宋_GB2312" w:cs="仿宋_GB2312" w:hAnsiTheme="minorHAnsi"/>
          <w:kern w:val="0"/>
          <w:sz w:val="32"/>
          <w:szCs w:val="32"/>
          <w:lang w:val="en-US" w:eastAsia="zh-CN" w:bidi="ar"/>
        </w:rPr>
        <w:t>无其他需要报告的事项。</w:t>
      </w:r>
    </w:p>
    <w:p w14:paraId="2BFEB36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4CE3DB6-1B65-41B9-AA12-368F90AB10C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9BD2D074-6191-4278-84F5-59723DBC8EDF}"/>
  </w:font>
  <w:font w:name="方正小标宋简体">
    <w:panose1 w:val="02010600010101010101"/>
    <w:charset w:val="86"/>
    <w:family w:val="auto"/>
    <w:pitch w:val="default"/>
    <w:sig w:usb0="00000001" w:usb1="080E0000" w:usb2="00000000" w:usb3="00000000" w:csb0="00040000" w:csb1="00000000"/>
    <w:embedRegular r:id="rId3" w:fontKey="{784F4377-5AD4-443A-A6B9-24D696F6D54D}"/>
  </w:font>
  <w:font w:name="仿宋_GB2312">
    <w:altName w:val="仿宋"/>
    <w:panose1 w:val="00000000000000000000"/>
    <w:charset w:val="00"/>
    <w:family w:val="auto"/>
    <w:pitch w:val="default"/>
    <w:sig w:usb0="00000000" w:usb1="00000000" w:usb2="00000000" w:usb3="00000000" w:csb0="00000000" w:csb1="00000000"/>
    <w:embedRegular r:id="rId4" w:fontKey="{10BEDDBC-A5C1-45A8-B565-B09E47283608}"/>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embedRegular r:id="rId5" w:fontKey="{52BDC1CD-A0BC-4CE8-87A7-4296BB89E3E6}"/>
  </w:font>
  <w:font w:name="楷体">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embedRegular r:id="rId6" w:fontKey="{8BE402D4-A8D0-496A-A6A1-6B4BE447D01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5328BD"/>
    <w:multiLevelType w:val="singleLevel"/>
    <w:tmpl w:val="525328BD"/>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6A45F2"/>
    <w:rsid w:val="0B832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25</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2026-01-28T06:59:16Z</dcterms:created>
  <dc:creator>Administrator</dc:creator>
  <cp:lastModifiedBy>紫霞仙子</cp:lastModifiedBy>
  <dcterms:modified xsi:type="dcterms:W3CDTF">2026-01-28T07:24:50Z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eyJoZGlkIjoiYmFlYTkxNDhmODgwNjcwNjcxNDYxZWMyMmVlZDIzZmMiLCJ1c2VySWQiOiIzODI4MzE1NzMifQ==</vt:lpwstr>
  </property>
  <property fmtid="{D5CDD505-2E9C-101B-9397-08002B2CF9AE}" pid="4" name="ICV">
    <vt:lpwstr>7C50853CB71343CCBBDD3377EFCF0D5A_12</vt:lpwstr>
  </property>
</Properties>
</file>