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475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blCellSpacing w:w="0" w:type="dxa"/>
        </w:trPr>
        <w:tc>
          <w:tcPr>
            <w:tcW w:w="0" w:type="auto"/>
            <w:shd w:val="clear" w:color="auto" w:fill="auto"/>
            <w:vAlign w:val="top"/>
          </w:tcPr>
          <w:p>
            <w:pPr>
              <w:pStyle w:val="3"/>
              <w:keepNext w:val="0"/>
              <w:keepLines w:val="0"/>
              <w:widowControl/>
              <w:suppressLineNumbers w:val="0"/>
              <w:spacing w:before="0" w:beforeAutospacing="0" w:after="0" w:afterAutospacing="0" w:line="27" w:lineRule="atLeast"/>
              <w:ind w:left="0" w:firstLine="420"/>
              <w:jc w:val="both"/>
              <w:rPr>
                <w:rFonts w:hint="eastAsia" w:asciiTheme="majorEastAsia" w:hAnsiTheme="majorEastAsia" w:eastAsiaTheme="majorEastAsia" w:cstheme="majorEastAsia"/>
                <w:b/>
                <w:bCs/>
                <w:sz w:val="32"/>
                <w:szCs w:val="32"/>
              </w:rPr>
            </w:pPr>
            <w:bookmarkStart w:id="0" w:name="_GoBack"/>
            <w:r>
              <w:rPr>
                <w:rFonts w:hint="eastAsia" w:asciiTheme="majorEastAsia" w:hAnsiTheme="majorEastAsia" w:eastAsiaTheme="majorEastAsia" w:cstheme="majorEastAsia"/>
                <w:b/>
                <w:bCs/>
                <w:sz w:val="32"/>
                <w:szCs w:val="32"/>
              </w:rPr>
              <w:t>高安市建山镇人民政府2021年政府信息公开工作年度报告</w:t>
            </w:r>
          </w:p>
          <w:bookmarkEnd w:id="0"/>
          <w:p>
            <w:pPr>
              <w:pStyle w:val="3"/>
              <w:keepNext w:val="0"/>
              <w:keepLines w:val="0"/>
              <w:widowControl/>
              <w:suppressLineNumbers w:val="0"/>
              <w:spacing w:before="0" w:beforeAutospacing="0" w:after="0" w:afterAutospacing="0" w:line="27" w:lineRule="atLeast"/>
              <w:ind w:left="0" w:firstLine="420"/>
              <w:jc w:val="both"/>
              <w:rPr>
                <w:rFonts w:hint="eastAsia" w:asciiTheme="majorEastAsia" w:hAnsiTheme="majorEastAsia" w:eastAsiaTheme="majorEastAsia" w:cstheme="majorEastAsia"/>
                <w:b/>
                <w:bCs/>
                <w:sz w:val="32"/>
                <w:szCs w:val="32"/>
              </w:rPr>
            </w:pP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一、总体情况</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2021年建山镇人民政府坚持以习近平新时代中国特色社会主义思想为指导，深入贯彻党的十九大和十九届二中、三中、四中、五中、六中全会精神，严格落实《国务院办公厅印发〈关于全面推进政务公开工作的意见〉实施细则的通知》（国办发〔2016〕80号）和《国务院办公厅关于印发2020年政务公开工作要点的通知》（国办发〔2020〕17号）的要求。明确目标任务，紧紧围绕市委、市政府工作精神，抓住中心工作及社会群众关注关切问题，着力提升信息公开质量，不断增强“阳光政务”打造。</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（一）主动公开</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2021年，建山镇紧紧围绕市委、市政府工作要求，围绕建山镇经济发展，民生、教育、巩固拓展脱贫攻坚及乡村振兴以及“放管服”改革等重点领域的信息公开工作。2021年，在政府信息公开平台上，通过市政府门户网站发布政务动态、六稳六保等政务信息92条。</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（二）依申请公开</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2021年度建山镇政府信息依申请公开稳步推进、逐步规范。工作中，结合贯彻落实新条例，不断完善工作机制。一是及时更新信息公开指南、信息公开目录。二是利用好政府信息公开咨询热线，利用好政务公开体验区。截至目前，建山镇未收到相关公开申请请求。</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（三）政府信息管理</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建山镇以政府信息主动公开目录为抓手，进一步规范了政府信息发布流程，加强信息发布前审查，严格按照要求公开政府信息。一是规范信息发布流程。严格实行信息编写、审核和报送各环节层层把关负责制，做到逐级把关、层层负责。二是健全保密审查机制，实行保密审查责任制，把好政府信息审核关。明确了政府信息公开保密审核坚持“先审核后公开”、“谁公开谁审核、谁审核谁负责”的原则。</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（四）政府信息公开平台建设</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2021年，建山镇不断拓展信息公开渠道，积极推进公开平台建设，大力推进政务公开体验区体验服务。同时，安排专人进行负责政务公开工作，将政务公开落实落细。</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（五）监督保障</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一是建立健全信息公开工作考核机制。把政务公开纳入千分制考核体系，增强信息公开实效。二是加强了政府信息公开业务培训。组织全体机关干部进行政务公开业务培训，召开专题政务公开工作汇报会，提高了机关干部对于政务公开的政治站位及认识，进一步提高全镇政务公开水平。</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二、主动公开政府信息情况</w:t>
            </w:r>
          </w:p>
          <w:tbl>
            <w:tblPr>
              <w:tblW w:w="0" w:type="auto"/>
              <w:tblInd w:w="-3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2201"/>
              <w:gridCol w:w="2201"/>
              <w:gridCol w:w="2201"/>
              <w:gridCol w:w="222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9810" w:type="dxa"/>
                  <w:gridSpan w:val="4"/>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第二十条第（一）项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信息内容</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本年制发件数</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本年废止件数</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现行有效件数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规   章</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行政规范性文件</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第二十条第（五）项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信息内容</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行政许可</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第二十条第（六）项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信息内容</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本年处理决定数量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行政处罚</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行政强制</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9810" w:type="dxa"/>
                  <w:gridSpan w:val="4"/>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第二十条第（八）项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信息内容</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本年收费金额（单位：万元）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244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行政事业性收费</w:t>
                  </w:r>
                </w:p>
              </w:tc>
              <w:tc>
                <w:tcPr>
                  <w:tcW w:w="7365"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bl>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三、收到和处理政府信息公开申请情况</w:t>
            </w:r>
          </w:p>
          <w:tbl>
            <w:tblPr>
              <w:tblW w:w="0" w:type="auto"/>
              <w:tblInd w:w="-3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763"/>
              <w:gridCol w:w="1020"/>
              <w:gridCol w:w="3991"/>
              <w:gridCol w:w="424"/>
              <w:gridCol w:w="448"/>
              <w:gridCol w:w="380"/>
              <w:gridCol w:w="472"/>
              <w:gridCol w:w="424"/>
              <w:gridCol w:w="448"/>
              <w:gridCol w:w="4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600" w:type="dxa"/>
                  <w:gridSpan w:val="3"/>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（本列数据的勾稽关系为：第一项加第二项之和，等于第三项加第四项之和）</w:t>
                  </w:r>
                </w:p>
              </w:tc>
              <w:tc>
                <w:tcPr>
                  <w:tcW w:w="3135" w:type="dxa"/>
                  <w:gridSpan w:val="7"/>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申请人情况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35"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自</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然</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人</w:t>
                  </w:r>
                </w:p>
              </w:tc>
              <w:tc>
                <w:tcPr>
                  <w:tcW w:w="2235"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法人或其他组织</w:t>
                  </w:r>
                </w:p>
              </w:tc>
              <w:tc>
                <w:tcPr>
                  <w:tcW w:w="465"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600" w:type="dxa"/>
                  <w:gridSpan w:val="3"/>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3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商业</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企业</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科研</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机构</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社会公益组织</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法律服务机构</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其他</w:t>
                  </w:r>
                </w:p>
              </w:tc>
              <w:tc>
                <w:tcPr>
                  <w:tcW w:w="465"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一、本年新收政府信息公开申请数量</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二、上年结转政府信息公开申请数量</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三、本年度办理结果</w:t>
                  </w:r>
                </w:p>
              </w:tc>
              <w:tc>
                <w:tcPr>
                  <w:tcW w:w="5820"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（一）予以公开</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5820"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（二）部分公开（区分处理的，只计这一情形，不计其他情形）</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（三）不予公开</w:t>
                  </w: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1.属于国家秘密</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2.其他法律行政法规禁止公开</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3.危及“三安全一稳定”</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4.保护第三方合法权益</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5.属于三类内部事务信息</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6.属于四类过程性信息</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7.属于行政执法案卷</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8.属于行政查询事项</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（四）无法提供</w:t>
                  </w: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1.本机关不掌握相关政府信息</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2.没有现成信息需要另行制作</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3.补正后申请内容仍不明确</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（五）不予处理</w:t>
                  </w: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1.信访举报投诉类申请</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2.重复申请</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3.要求提供公开出版物</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4.无正当理由大量反复申请</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5.要求行政机关确认或重新出具已获取信息</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（六）其他处理</w:t>
                  </w:r>
                </w:p>
              </w:tc>
              <w:tc>
                <w:tcPr>
                  <w:tcW w:w="481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1.申请人无正当理由逾期不补正、行政机关不再处理其政府信息公开申请</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2.申请人逾期未按收费通知要求缴纳费用、行政机关不再处理其政府信息公开申请</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99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481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3.其他</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78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5820" w:type="dxa"/>
                  <w:gridSpan w:val="2"/>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（七）总计</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30" w:type="dxa"/>
                  <w:left w:w="30" w:type="dxa"/>
                  <w:bottom w:w="30" w:type="dxa"/>
                  <w:right w:w="30" w:type="dxa"/>
                </w:tblCellMar>
              </w:tblPrEx>
              <w:tc>
                <w:tcPr>
                  <w:tcW w:w="6600" w:type="dxa"/>
                  <w:gridSpan w:val="3"/>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四、结转下年度继续办理</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37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9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35"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5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465"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bl>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四、政府信息公开行政复议、行政诉讼情况</w:t>
            </w:r>
          </w:p>
          <w:tbl>
            <w:tblPr>
              <w:tblW w:w="0" w:type="auto"/>
              <w:tblInd w:w="-3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30" w:type="dxa"/>
                <w:left w:w="30" w:type="dxa"/>
                <w:bottom w:w="30" w:type="dxa"/>
                <w:right w:w="30" w:type="dxa"/>
              </w:tblCellMar>
            </w:tblPr>
            <w:tblGrid>
              <w:gridCol w:w="579"/>
              <w:gridCol w:w="579"/>
              <w:gridCol w:w="579"/>
              <w:gridCol w:w="579"/>
              <w:gridCol w:w="627"/>
              <w:gridCol w:w="579"/>
              <w:gridCol w:w="579"/>
              <w:gridCol w:w="579"/>
              <w:gridCol w:w="579"/>
              <w:gridCol w:w="627"/>
              <w:gridCol w:w="579"/>
              <w:gridCol w:w="579"/>
              <w:gridCol w:w="579"/>
              <w:gridCol w:w="579"/>
              <w:gridCol w:w="62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3210"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行政复议</w:t>
                  </w:r>
                </w:p>
              </w:tc>
              <w:tc>
                <w:tcPr>
                  <w:tcW w:w="6420" w:type="dxa"/>
                  <w:gridSpan w:val="10"/>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行政诉讼</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3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结果维持</w:t>
                  </w:r>
                </w:p>
              </w:tc>
              <w:tc>
                <w:tcPr>
                  <w:tcW w:w="63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纠正</w:t>
                  </w:r>
                </w:p>
              </w:tc>
              <w:tc>
                <w:tcPr>
                  <w:tcW w:w="63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其他</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tc>
              <w:tc>
                <w:tcPr>
                  <w:tcW w:w="63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尚未</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审结</w:t>
                  </w:r>
                </w:p>
              </w:tc>
              <w:tc>
                <w:tcPr>
                  <w:tcW w:w="630" w:type="dxa"/>
                  <w:vMerge w:val="restart"/>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总计</w:t>
                  </w:r>
                </w:p>
              </w:tc>
              <w:tc>
                <w:tcPr>
                  <w:tcW w:w="3210"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未经复议直接起诉</w:t>
                  </w:r>
                </w:p>
              </w:tc>
              <w:tc>
                <w:tcPr>
                  <w:tcW w:w="3210" w:type="dxa"/>
                  <w:gridSpan w:val="5"/>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复议后起诉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6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6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6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630"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宋体" w:hAnsi="宋体" w:eastAsia="宋体" w:cs="宋体"/>
                      <w:sz w:val="32"/>
                      <w:szCs w:val="32"/>
                    </w:rPr>
                  </w:pP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维持</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纠正</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其他</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尚未</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审结</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总计</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维持</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纠正</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其他</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结果</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尚未</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审结</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总计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30" w:type="dxa"/>
                  <w:left w:w="30" w:type="dxa"/>
                  <w:bottom w:w="30" w:type="dxa"/>
                  <w:right w:w="30" w:type="dxa"/>
                </w:tblCellMar>
              </w:tblPrEx>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top"/>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c>
                <w:tcPr>
                  <w:tcW w:w="630" w:type="dxa"/>
                  <w:tcBorders>
                    <w:top w:val="outset" w:color="auto" w:sz="6" w:space="0"/>
                    <w:left w:val="outset" w:color="auto" w:sz="6" w:space="0"/>
                    <w:bottom w:val="outset" w:color="auto" w:sz="6" w:space="0"/>
                    <w:right w:val="outset" w:color="auto" w:sz="6" w:space="0"/>
                  </w:tcBorders>
                  <w:shd w:val="clear"/>
                  <w:vAlign w:val="center"/>
                </w:tcPr>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32"/>
                      <w:szCs w:val="32"/>
                    </w:rPr>
                  </w:pPr>
                  <w:r>
                    <w:rPr>
                      <w:rFonts w:hint="eastAsia" w:ascii="宋体" w:hAnsi="宋体" w:eastAsia="宋体" w:cs="宋体"/>
                      <w:sz w:val="32"/>
                      <w:szCs w:val="32"/>
                    </w:rPr>
                    <w:t>0</w:t>
                  </w:r>
                </w:p>
              </w:tc>
            </w:tr>
          </w:tbl>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五、存在的主要问题及改进情况</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我镇政务公开工作还存在着一些问题：一是有的部门科室政务公开工作的实效性不够强，公开的内容不全面、不够及时；二是仍有个别部门政务公开资料没有进行收集整理和归档。</w:t>
            </w:r>
          </w:p>
          <w:p>
            <w:pPr>
              <w:pStyle w:val="2"/>
              <w:keepNext w:val="0"/>
              <w:keepLines w:val="0"/>
              <w:widowControl/>
              <w:suppressLineNumbers w:val="0"/>
              <w:rPr>
                <w:rFonts w:hint="eastAsia" w:ascii="宋体" w:hAnsi="宋体" w:eastAsia="宋体" w:cs="宋体"/>
                <w:sz w:val="32"/>
                <w:szCs w:val="32"/>
              </w:rPr>
            </w:pPr>
            <w:r>
              <w:rPr>
                <w:rFonts w:hint="eastAsia" w:ascii="宋体" w:hAnsi="宋体" w:eastAsia="宋体" w:cs="宋体"/>
                <w:sz w:val="32"/>
                <w:szCs w:val="32"/>
              </w:rPr>
              <w:t>针对存在的问题，我镇组织召开业务推进会，提高全体机关干部的思想认识，定期组织会议让干部对政务公开工作入脑入心。制定政务公开工作制度，督促各部门科室做好相关政务公开资料的整理和收集。</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六、其他需要报告的事项</w:t>
            </w:r>
          </w:p>
          <w:p>
            <w:pPr>
              <w:pStyle w:val="3"/>
              <w:keepNext w:val="0"/>
              <w:keepLines w:val="0"/>
              <w:widowControl/>
              <w:suppressLineNumbers w:val="0"/>
              <w:spacing w:before="0" w:beforeAutospacing="0" w:after="0" w:afterAutospacing="0" w:line="27" w:lineRule="atLeast"/>
              <w:ind w:left="0" w:firstLine="420"/>
              <w:jc w:val="both"/>
              <w:rPr>
                <w:rFonts w:hint="eastAsia" w:ascii="宋体" w:hAnsi="宋体" w:eastAsia="宋体" w:cs="宋体"/>
                <w:sz w:val="32"/>
                <w:szCs w:val="32"/>
              </w:rPr>
            </w:pPr>
            <w:r>
              <w:rPr>
                <w:rFonts w:hint="eastAsia" w:ascii="宋体" w:hAnsi="宋体" w:eastAsia="宋体" w:cs="宋体"/>
                <w:sz w:val="32"/>
                <w:szCs w:val="32"/>
              </w:rPr>
              <w:t>无。</w:t>
            </w:r>
          </w:p>
          <w:p>
            <w:pPr>
              <w:pStyle w:val="3"/>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p>
        </w:tc>
      </w:tr>
    </w:tbl>
    <w:p/>
    <w:sectPr>
      <w:pgSz w:w="11910" w:h="16840"/>
      <w:pgMar w:top="1519" w:right="1340" w:bottom="278" w:left="1260" w:header="720" w:footer="7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MjVlNTkxMTAzMTUwNDMyMTFhNmQ5Y2ZiYjA0NGYifQ=="/>
  </w:docVars>
  <w:rsids>
    <w:rsidRoot w:val="61001952"/>
    <w:rsid w:val="049230CA"/>
    <w:rsid w:val="06172A45"/>
    <w:rsid w:val="07863834"/>
    <w:rsid w:val="087E51D5"/>
    <w:rsid w:val="08B96156"/>
    <w:rsid w:val="15205263"/>
    <w:rsid w:val="15E95F02"/>
    <w:rsid w:val="1DB10EC9"/>
    <w:rsid w:val="1E6309EC"/>
    <w:rsid w:val="1F412012"/>
    <w:rsid w:val="1F900B80"/>
    <w:rsid w:val="21AA4345"/>
    <w:rsid w:val="24F616CB"/>
    <w:rsid w:val="27F16CD3"/>
    <w:rsid w:val="2AB370EC"/>
    <w:rsid w:val="30AD630B"/>
    <w:rsid w:val="313344C0"/>
    <w:rsid w:val="36641917"/>
    <w:rsid w:val="38C546E2"/>
    <w:rsid w:val="3960015B"/>
    <w:rsid w:val="39747ED0"/>
    <w:rsid w:val="3C196463"/>
    <w:rsid w:val="42A319E8"/>
    <w:rsid w:val="431919E4"/>
    <w:rsid w:val="47857463"/>
    <w:rsid w:val="4F23139B"/>
    <w:rsid w:val="526164BE"/>
    <w:rsid w:val="60F238C1"/>
    <w:rsid w:val="61001952"/>
    <w:rsid w:val="66D77783"/>
    <w:rsid w:val="73C62DDE"/>
    <w:rsid w:val="7F5C1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Hyperlink"/>
    <w:basedOn w:val="5"/>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2023-07-26T03:13:00Z</dcterms:created>
  <dc:creator>陈翔</dc:creator>
  <cp:lastModifiedBy>陈翔</cp:lastModifiedBy>
  <dcterms:modified xsi:type="dcterms:W3CDTF">2023-07-26T09:05:53Z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3C5BD5E64ECA4432B51739CD1BE6CC07_11</vt:lpwstr>
  </property>
</Properties>
</file>