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E2468">
      <w:pPr>
        <w:ind w:firstLine="0" w:firstLineChars="0"/>
        <w:jc w:val="center"/>
        <w:rPr>
          <w:rFonts w:hint="eastAsia" w:ascii="方正小标宋简体" w:hAnsi="方正小标宋简体" w:eastAsia="方正小标宋简体" w:cs="Times New Roman"/>
          <w:sz w:val="44"/>
          <w:szCs w:val="44"/>
        </w:rPr>
      </w:pPr>
    </w:p>
    <w:p w14:paraId="59AB42E3">
      <w:pPr>
        <w:ind w:firstLine="0" w:firstLineChars="0"/>
        <w:jc w:val="center"/>
        <w:rPr>
          <w:rFonts w:hint="eastAsia" w:ascii="方正小标宋简体" w:hAnsi="方正小标宋简体" w:eastAsia="方正小标宋简体" w:cs="Times New Roman"/>
          <w:sz w:val="44"/>
          <w:szCs w:val="44"/>
        </w:rPr>
      </w:pPr>
      <w:r>
        <w:rPr>
          <w:rFonts w:ascii="Times New Roman" w:hAnsi="Times New Roman" w:cs="Times New Roman"/>
        </w:rPr>
        <mc:AlternateContent>
          <mc:Choice Requires="wps">
            <w:drawing>
              <wp:anchor distT="0" distB="0" distL="114300" distR="114300" simplePos="0" relativeHeight="251660288" behindDoc="0" locked="1" layoutInCell="1" allowOverlap="1">
                <wp:simplePos x="0" y="0"/>
                <wp:positionH relativeFrom="margin">
                  <wp:posOffset>-87630</wp:posOffset>
                </wp:positionH>
                <wp:positionV relativeFrom="margin">
                  <wp:posOffset>-110490</wp:posOffset>
                </wp:positionV>
                <wp:extent cx="5715635" cy="8991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15635" cy="899160"/>
                        </a:xfrm>
                        <a:prstGeom prst="rect">
                          <a:avLst/>
                        </a:prstGeom>
                        <a:noFill/>
                        <a:ln>
                          <a:noFill/>
                        </a:ln>
                      </wps:spPr>
                      <wps:txbx>
                        <w:txbxContent>
                          <w:p w14:paraId="4BF8DBD9">
                            <w:pPr>
                              <w:spacing w:line="1200" w:lineRule="exact"/>
                              <w:ind w:firstLine="0" w:firstLineChars="0"/>
                              <w:jc w:val="distribute"/>
                              <w:textAlignment w:val="top"/>
                              <w:rPr>
                                <w:rFonts w:ascii="方正小标宋简体" w:hAnsi="方正小标宋_GBK" w:eastAsia="方正小标宋简体"/>
                                <w:b/>
                                <w:color w:val="FF0000"/>
                                <w:w w:val="65"/>
                                <w:sz w:val="106"/>
                                <w:szCs w:val="106"/>
                              </w:rPr>
                            </w:pPr>
                            <w:r>
                              <w:rPr>
                                <w:rFonts w:hint="eastAsia" w:ascii="方正小标宋简体" w:hAnsi="方正小标宋_GBK" w:eastAsia="方正小标宋简体"/>
                                <w:b/>
                                <w:color w:val="FF0000"/>
                                <w:w w:val="65"/>
                                <w:sz w:val="106"/>
                                <w:szCs w:val="106"/>
                                <w:lang w:eastAsia="zh-CN"/>
                              </w:rPr>
                              <w:t>高安</w:t>
                            </w:r>
                            <w:r>
                              <w:rPr>
                                <w:rFonts w:hint="eastAsia" w:ascii="方正小标宋简体" w:hAnsi="方正小标宋_GBK" w:eastAsia="方正小标宋简体"/>
                                <w:b/>
                                <w:color w:val="FF0000"/>
                                <w:w w:val="65"/>
                                <w:sz w:val="106"/>
                                <w:szCs w:val="106"/>
                              </w:rPr>
                              <w:t>市人民政府办公室</w:t>
                            </w:r>
                          </w:p>
                        </w:txbxContent>
                      </wps:txbx>
                      <wps:bodyPr lIns="0" tIns="0" rIns="0" bIns="0" upright="1"/>
                    </wps:wsp>
                  </a:graphicData>
                </a:graphic>
              </wp:anchor>
            </w:drawing>
          </mc:Choice>
          <mc:Fallback>
            <w:pict>
              <v:shape id="_x0000_s1026" o:spid="_x0000_s1026" o:spt="202" type="#_x0000_t202" style="position:absolute;left:0pt;margin-left:-6.9pt;margin-top:-8.7pt;height:70.8pt;width:450.05pt;mso-position-horizontal-relative:margin;mso-position-vertical-relative:margin;z-index:251660288;mso-width-relative:page;mso-height-relative:page;" filled="f" stroked="f" coordsize="21600,21600" o:gfxdata="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T87B79oAAAALAQAADwAAAAAAAAABACAAAAAiAAAAZHJzL2Rvd25yZXYueG1s&#10;UEsBAhQAFAAAAAgAh07iQC1kZNa9AQAAcgMAAA4AAAAAAAAAAQAgAAAAKQEAAGRycy9lMm9Eb2Mu&#10;eG1sUEsFBgAAAAAGAAYAWQEAAFgFAAAAAA==&#10;">
                <v:fill on="f" focussize="0,0"/>
                <v:stroke on="f"/>
                <v:imagedata o:title=""/>
                <o:lock v:ext="edit" aspectratio="f"/>
                <v:textbox inset="0mm,0mm,0mm,0mm">
                  <w:txbxContent>
                    <w:p w14:paraId="4BF8DBD9">
                      <w:pPr>
                        <w:spacing w:line="1200" w:lineRule="exact"/>
                        <w:ind w:firstLine="0" w:firstLineChars="0"/>
                        <w:jc w:val="distribute"/>
                        <w:textAlignment w:val="top"/>
                        <w:rPr>
                          <w:rFonts w:ascii="方正小标宋简体" w:hAnsi="方正小标宋_GBK" w:eastAsia="方正小标宋简体"/>
                          <w:b/>
                          <w:color w:val="FF0000"/>
                          <w:w w:val="65"/>
                          <w:sz w:val="106"/>
                          <w:szCs w:val="106"/>
                        </w:rPr>
                      </w:pPr>
                      <w:r>
                        <w:rPr>
                          <w:rFonts w:hint="eastAsia" w:ascii="方正小标宋简体" w:hAnsi="方正小标宋_GBK" w:eastAsia="方正小标宋简体"/>
                          <w:b/>
                          <w:color w:val="FF0000"/>
                          <w:w w:val="65"/>
                          <w:sz w:val="106"/>
                          <w:szCs w:val="106"/>
                          <w:lang w:eastAsia="zh-CN"/>
                        </w:rPr>
                        <w:t>高安</w:t>
                      </w:r>
                      <w:r>
                        <w:rPr>
                          <w:rFonts w:hint="eastAsia" w:ascii="方正小标宋简体" w:hAnsi="方正小标宋_GBK" w:eastAsia="方正小标宋简体"/>
                          <w:b/>
                          <w:color w:val="FF0000"/>
                          <w:w w:val="65"/>
                          <w:sz w:val="106"/>
                          <w:szCs w:val="106"/>
                        </w:rPr>
                        <w:t>市人民政府办公室</w:t>
                      </w:r>
                    </w:p>
                  </w:txbxContent>
                </v:textbox>
                <w10:anchorlock/>
              </v:shape>
            </w:pict>
          </mc:Fallback>
        </mc:AlternateContent>
      </w:r>
    </w:p>
    <w:p w14:paraId="1F9467EC">
      <w:pPr>
        <w:ind w:firstLine="0" w:firstLineChars="0"/>
        <w:jc w:val="center"/>
        <w:rPr>
          <w:rFonts w:hint="eastAsia" w:ascii="方正小标宋简体" w:hAnsi="方正小标宋简体" w:eastAsia="方正小标宋简体" w:cs="Times New Roman"/>
          <w:sz w:val="44"/>
          <w:szCs w:val="44"/>
        </w:rPr>
      </w:pPr>
      <w:r>
        <w:rPr>
          <w:rFonts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-229235</wp:posOffset>
                </wp:positionH>
                <wp:positionV relativeFrom="paragraph">
                  <wp:posOffset>84455</wp:posOffset>
                </wp:positionV>
                <wp:extent cx="6066155" cy="0"/>
                <wp:effectExtent l="0" t="28575" r="10795" b="28575"/>
                <wp:wrapNone/>
                <wp:docPr id="4" name="直接连接符 4"/>
                <wp:cNvGraphicFramePr/>
                <a:graphic xmlns:a="http://schemas.openxmlformats.org/drawingml/2006/main">
                  <a:graphicData uri="http://schemas.microsoft.com/office/word/2010/wordprocessingShape">
                    <wps:wsp>
                      <wps:cNvCnPr/>
                      <wps:spPr>
                        <a:xfrm>
                          <a:off x="0" y="0"/>
                          <a:ext cx="606615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05pt;margin-top:6.65pt;height:0pt;width:477.65pt;z-index:251661312;mso-width-relative:page;mso-height-relative:page;" filled="f" stroked="t" coordsize="21600,21600" o:gfxdata="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RXvZHUAAAACQEAAA8AAAAAAAAAAQAgAAAAIgAAAGRycy9kb3ducmV2Lnht&#10;bFBLAQIUABQAAAAIAIdO4kAmSSGI/QEAAOsDAAAOAAAAAAAAAAEAIAAAACMBAABkcnMvZTJvRG9j&#10;LnhtbFBLBQYAAAAABgAGAFkBAACSBQAAAAA=&#10;">
                <v:fill on="f" focussize="0,0"/>
                <v:stroke weight="4.5pt" color="#FF0000" linestyle="thickThin" joinstyle="round"/>
                <v:imagedata o:title=""/>
                <o:lock v:ext="edit" aspectratio="f"/>
              </v:line>
            </w:pict>
          </mc:Fallback>
        </mc:AlternateContent>
      </w:r>
    </w:p>
    <w:p w14:paraId="55C30A5D">
      <w:pPr>
        <w:ind w:firstLine="0" w:firstLineChars="0"/>
        <w:jc w:val="center"/>
        <w:rPr>
          <w:rFonts w:ascii="方正小标宋简体" w:hAnsi="Times New Roman" w:eastAsia="方正小标宋简体" w:cs="Times New Roman"/>
          <w:sz w:val="44"/>
          <w:szCs w:val="44"/>
        </w:rPr>
      </w:pPr>
      <w:r>
        <w:rPr>
          <w:rFonts w:hint="eastAsia" w:ascii="方正小标宋简体" w:hAnsi="方正小标宋简体" w:eastAsia="方正小标宋简体" w:cs="Times New Roman"/>
          <w:sz w:val="44"/>
          <w:szCs w:val="44"/>
        </w:rPr>
        <w:t>关于</w:t>
      </w:r>
      <w:r>
        <w:rPr>
          <w:rFonts w:hint="eastAsia" w:ascii="方正小标宋简体" w:hAnsi="方正小标宋简体" w:eastAsia="方正小标宋简体" w:cs="Times New Roman"/>
          <w:sz w:val="44"/>
          <w:szCs w:val="44"/>
          <w:lang w:val="en-US" w:eastAsia="zh-CN"/>
        </w:rPr>
        <w:t>做好2021年度政府信息公开工作年度报告编制和发布工作</w:t>
      </w:r>
      <w:r>
        <w:rPr>
          <w:rFonts w:hint="eastAsia" w:ascii="方正小标宋简体" w:hAnsi="方正小标宋简体" w:eastAsia="方正小标宋简体" w:cs="Times New Roman"/>
          <w:sz w:val="44"/>
          <w:szCs w:val="44"/>
        </w:rPr>
        <w:t>的通知</w:t>
      </w:r>
    </w:p>
    <w:p w14:paraId="081E8B8C">
      <w:pPr>
        <w:ind w:firstLine="0" w:firstLineChars="0"/>
        <w:rPr>
          <w:rFonts w:ascii="Times New Roman" w:hAnsi="Times New Roman" w:eastAsia="仿宋_GB2312" w:cs="Times New Roman"/>
        </w:rPr>
      </w:pPr>
    </w:p>
    <w:p w14:paraId="57F2040C">
      <w:pPr>
        <w:ind w:firstLine="0" w:firstLineChars="0"/>
        <w:jc w:val="left"/>
        <w:rPr>
          <w:rFonts w:ascii="Times New Roman" w:hAnsi="仿宋_GB2312" w:eastAsia="仿宋_GB2312"/>
          <w:sz w:val="32"/>
          <w:szCs w:val="32"/>
          <w:shd w:val="clear" w:color="auto" w:fill="FFFFFF"/>
        </w:rPr>
      </w:pPr>
      <w:r>
        <w:rPr>
          <w:rFonts w:hint="eastAsia" w:ascii="Times New Roman" w:hAnsi="仿宋_GB2312" w:eastAsia="仿宋_GB2312"/>
          <w:sz w:val="32"/>
          <w:szCs w:val="32"/>
          <w:shd w:val="clear" w:color="auto" w:fill="FFFFFF"/>
        </w:rPr>
        <w:t>各乡镇人民政府、街道办事处，相城垦殖场，</w:t>
      </w:r>
      <w:r>
        <w:rPr>
          <w:rFonts w:hint="eastAsia" w:hAnsi="仿宋_GB2312"/>
          <w:sz w:val="32"/>
          <w:szCs w:val="32"/>
          <w:shd w:val="clear" w:color="auto" w:fill="FFFFFF"/>
          <w:lang w:eastAsia="zh-CN"/>
        </w:rPr>
        <w:t>市</w:t>
      </w:r>
      <w:r>
        <w:rPr>
          <w:rFonts w:hint="eastAsia" w:ascii="Times New Roman" w:hAnsi="仿宋_GB2312" w:eastAsia="仿宋_GB2312"/>
          <w:sz w:val="32"/>
          <w:szCs w:val="32"/>
          <w:shd w:val="clear" w:color="auto" w:fill="FFFFFF"/>
          <w:lang w:eastAsia="zh-CN"/>
        </w:rPr>
        <w:t>有关</w:t>
      </w:r>
      <w:r>
        <w:rPr>
          <w:rFonts w:ascii="Times New Roman" w:hAnsi="仿宋_GB2312" w:eastAsia="仿宋_GB2312"/>
          <w:sz w:val="32"/>
          <w:szCs w:val="32"/>
          <w:shd w:val="clear" w:color="auto" w:fill="FFFFFF"/>
        </w:rPr>
        <w:t>部门：</w:t>
      </w:r>
    </w:p>
    <w:p w14:paraId="7D89382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imes New Roman" w:hAnsi="仿宋_GB2312" w:eastAsia="仿宋_GB2312" w:cs="Times New Roman"/>
          <w:kern w:val="2"/>
          <w:sz w:val="32"/>
          <w:szCs w:val="32"/>
          <w:shd w:val="clear" w:color="auto" w:fill="FFFFFF"/>
          <w:lang w:val="en-US" w:eastAsia="zh-CN" w:bidi="ar-SA"/>
        </w:rPr>
      </w:pPr>
      <w:r>
        <w:rPr>
          <w:rFonts w:hint="eastAsia" w:hAnsi="仿宋_GB2312"/>
          <w:sz w:val="32"/>
          <w:szCs w:val="32"/>
          <w:shd w:val="clear" w:color="auto" w:fill="FFFFFF"/>
          <w:lang w:val="en-US" w:eastAsia="zh-CN"/>
        </w:rPr>
        <w:t>根据</w:t>
      </w:r>
      <w:r>
        <w:rPr>
          <w:rFonts w:hint="eastAsia" w:ascii="Times New Roman" w:hAnsi="仿宋_GB2312" w:eastAsia="仿宋_GB2312"/>
          <w:sz w:val="32"/>
          <w:szCs w:val="32"/>
          <w:shd w:val="clear" w:color="auto" w:fill="FFFFFF"/>
        </w:rPr>
        <w:t>《中华人民共和国政府信息公开条例</w:t>
      </w:r>
      <w:r>
        <w:rPr>
          <w:rFonts w:hint="eastAsia" w:ascii="Times New Roman" w:hAnsi="仿宋_GB2312" w:eastAsia="仿宋_GB2312" w:cs="Times New Roman"/>
          <w:kern w:val="2"/>
          <w:sz w:val="32"/>
          <w:szCs w:val="32"/>
          <w:shd w:val="clear" w:color="auto" w:fill="FFFFFF"/>
          <w:lang w:val="en-US" w:eastAsia="zh-CN" w:bidi="ar-SA"/>
        </w:rPr>
        <w:t>》（国务院令第711号）和《国务院办公厅政府信息与政务公开办公室关于印发中华人民共和国政府信息公开工作年度报告格式的通知</w:t>
      </w:r>
      <w:r>
        <w:rPr>
          <w:rFonts w:hint="eastAsia" w:ascii="Times New Roman" w:hAnsi="仿宋_GB2312" w:eastAsia="仿宋_GB2312"/>
          <w:sz w:val="32"/>
          <w:szCs w:val="32"/>
          <w:shd w:val="clear" w:color="auto" w:fill="FFFFFF"/>
        </w:rPr>
        <w:t>》（国办公开办函〔20</w:t>
      </w:r>
      <w:r>
        <w:rPr>
          <w:rFonts w:hint="eastAsia" w:hAnsi="仿宋_GB2312"/>
          <w:sz w:val="32"/>
          <w:szCs w:val="32"/>
          <w:shd w:val="clear" w:color="auto" w:fill="FFFFFF"/>
          <w:lang w:val="en-US" w:eastAsia="zh-CN"/>
        </w:rPr>
        <w:t>21</w:t>
      </w:r>
      <w:r>
        <w:rPr>
          <w:rFonts w:hint="eastAsia" w:ascii="Times New Roman" w:hAnsi="仿宋_GB2312" w:eastAsia="仿宋_GB2312"/>
          <w:sz w:val="32"/>
          <w:szCs w:val="32"/>
          <w:shd w:val="clear" w:color="auto" w:fill="FFFFFF"/>
        </w:rPr>
        <w:t>〕</w:t>
      </w:r>
      <w:r>
        <w:rPr>
          <w:rFonts w:hint="eastAsia" w:hAnsi="仿宋_GB2312"/>
          <w:sz w:val="32"/>
          <w:szCs w:val="32"/>
          <w:shd w:val="clear" w:color="auto" w:fill="FFFFFF"/>
          <w:lang w:val="en-US" w:eastAsia="zh-CN"/>
        </w:rPr>
        <w:t>30</w:t>
      </w:r>
      <w:r>
        <w:rPr>
          <w:rFonts w:hint="eastAsia" w:ascii="Times New Roman" w:hAnsi="仿宋_GB2312" w:eastAsia="仿宋_GB2312"/>
          <w:sz w:val="32"/>
          <w:szCs w:val="32"/>
          <w:shd w:val="clear" w:color="auto" w:fill="FFFFFF"/>
        </w:rPr>
        <w:t>号）</w:t>
      </w:r>
      <w:r>
        <w:rPr>
          <w:rFonts w:hint="eastAsia" w:hAnsi="仿宋_GB2312"/>
          <w:sz w:val="32"/>
          <w:szCs w:val="32"/>
          <w:shd w:val="clear" w:color="auto" w:fill="FFFFFF"/>
          <w:lang w:val="en-US" w:eastAsia="zh-CN"/>
        </w:rPr>
        <w:t>等文件通知</w:t>
      </w:r>
      <w:r>
        <w:rPr>
          <w:rFonts w:hint="eastAsia" w:ascii="Times New Roman" w:hAnsi="仿宋_GB2312" w:eastAsia="仿宋_GB2312"/>
          <w:sz w:val="32"/>
          <w:szCs w:val="32"/>
          <w:shd w:val="clear" w:color="auto" w:fill="FFFFFF"/>
        </w:rPr>
        <w:t>要求，</w:t>
      </w:r>
      <w:r>
        <w:rPr>
          <w:rFonts w:hint="eastAsia" w:ascii="Times New Roman" w:hAnsi="仿宋_GB2312" w:eastAsia="仿宋_GB2312" w:cs="Times New Roman"/>
          <w:kern w:val="2"/>
          <w:sz w:val="32"/>
          <w:szCs w:val="32"/>
          <w:shd w:val="clear" w:color="auto" w:fill="FFFFFF"/>
          <w:lang w:val="en-US" w:eastAsia="zh-CN" w:bidi="ar-SA"/>
        </w:rPr>
        <w:t>现就做好2021年度政府信息公开工作年度报告编制和发布工作通知如下：</w:t>
      </w:r>
    </w:p>
    <w:p w14:paraId="7543D4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hAnsi="仿宋_GB2312"/>
          <w:sz w:val="32"/>
          <w:szCs w:val="32"/>
          <w:shd w:val="clear" w:color="auto" w:fill="FFFFFF"/>
          <w:lang w:eastAsia="zh-CN"/>
        </w:rPr>
      </w:pPr>
      <w:r>
        <w:rPr>
          <w:rFonts w:hint="eastAsia" w:ascii="黑体" w:hAnsi="黑体" w:eastAsia="黑体" w:cs="黑体"/>
          <w:b w:val="0"/>
          <w:bCs w:val="0"/>
          <w:sz w:val="32"/>
          <w:szCs w:val="32"/>
          <w:shd w:val="clear" w:color="auto" w:fill="FFFFFF"/>
          <w:lang w:val="en-US" w:eastAsia="zh-CN"/>
        </w:rPr>
        <w:t>一、编制要统一格式</w:t>
      </w:r>
      <w:r>
        <w:rPr>
          <w:rFonts w:hint="eastAsia" w:ascii="楷体_GB2312" w:hAnsi="楷体_GB2312" w:eastAsia="楷体_GB2312" w:cs="楷体_GB2312"/>
          <w:b w:val="0"/>
          <w:bCs w:val="0"/>
          <w:sz w:val="32"/>
          <w:szCs w:val="32"/>
          <w:shd w:val="clear" w:color="auto" w:fill="FFFFFF"/>
          <w:lang w:val="en-US" w:eastAsia="zh-CN"/>
        </w:rPr>
        <w:t>。</w:t>
      </w:r>
      <w:r>
        <w:rPr>
          <w:rFonts w:hint="eastAsia" w:ascii="Times New Roman" w:hAnsi="仿宋_GB2312" w:eastAsia="仿宋_GB2312"/>
          <w:sz w:val="32"/>
          <w:szCs w:val="32"/>
          <w:shd w:val="clear" w:color="auto" w:fill="FFFFFF"/>
          <w:lang w:val="en-US" w:eastAsia="zh-CN"/>
        </w:rPr>
        <w:t>政府</w:t>
      </w:r>
      <w:r>
        <w:rPr>
          <w:rFonts w:hint="eastAsia" w:ascii="Times New Roman" w:hAnsi="仿宋_GB2312" w:eastAsia="仿宋_GB2312"/>
          <w:sz w:val="32"/>
          <w:szCs w:val="32"/>
          <w:shd w:val="clear" w:color="auto" w:fill="FFFFFF"/>
        </w:rPr>
        <w:t>信息公开年报要严格按照统一的格式进行编制</w:t>
      </w:r>
      <w:r>
        <w:rPr>
          <w:rFonts w:hint="eastAsia" w:hAnsi="仿宋_GB2312"/>
          <w:sz w:val="32"/>
          <w:szCs w:val="32"/>
          <w:shd w:val="clear" w:color="auto" w:fill="FFFFFF"/>
          <w:lang w:eastAsia="zh-CN"/>
        </w:rPr>
        <w:t>，统一名称为“</w:t>
      </w:r>
      <w:r>
        <w:rPr>
          <w:rFonts w:hint="eastAsia" w:hAnsi="仿宋_GB2312"/>
          <w:sz w:val="32"/>
          <w:szCs w:val="32"/>
          <w:shd w:val="clear" w:color="auto" w:fill="FFFFFF"/>
          <w:lang w:val="en-US" w:eastAsia="zh-CN"/>
        </w:rPr>
        <w:t>高安市+</w:t>
      </w:r>
      <w:r>
        <w:rPr>
          <w:rFonts w:hint="eastAsia" w:hAnsi="仿宋_GB2312"/>
          <w:sz w:val="32"/>
          <w:szCs w:val="32"/>
          <w:shd w:val="clear" w:color="auto" w:fill="FFFFFF"/>
          <w:lang w:eastAsia="zh-CN"/>
        </w:rPr>
        <w:t>机构名称+202</w:t>
      </w:r>
      <w:r>
        <w:rPr>
          <w:rFonts w:hint="eastAsia" w:hAnsi="仿宋_GB2312"/>
          <w:sz w:val="32"/>
          <w:szCs w:val="32"/>
          <w:shd w:val="clear" w:color="auto" w:fill="FFFFFF"/>
          <w:lang w:val="en-US" w:eastAsia="zh-CN"/>
        </w:rPr>
        <w:t>1</w:t>
      </w:r>
      <w:r>
        <w:rPr>
          <w:rFonts w:hint="eastAsia" w:hAnsi="仿宋_GB2312"/>
          <w:sz w:val="32"/>
          <w:szCs w:val="32"/>
          <w:shd w:val="clear" w:color="auto" w:fill="FFFFFF"/>
          <w:lang w:eastAsia="zh-CN"/>
        </w:rPr>
        <w:t>年政府信息公开工作年度报告”。</w:t>
      </w:r>
      <w:r>
        <w:rPr>
          <w:rFonts w:hint="eastAsia" w:hAnsi="仿宋_GB2312"/>
          <w:sz w:val="32"/>
          <w:szCs w:val="32"/>
          <w:shd w:val="clear" w:color="auto" w:fill="FFFFFF"/>
          <w:lang w:val="en-US" w:eastAsia="zh-CN"/>
        </w:rPr>
        <w:t>附件中</w:t>
      </w:r>
      <w:r>
        <w:rPr>
          <w:rFonts w:hint="eastAsia" w:hAnsi="仿宋_GB2312"/>
          <w:sz w:val="32"/>
          <w:szCs w:val="32"/>
          <w:shd w:val="clear" w:color="auto" w:fill="FFFFFF"/>
          <w:lang w:eastAsia="zh-CN"/>
        </w:rPr>
        <w:t>已明确具体格式及有关要求，涉及大量数据汇总整理，专业性较强，</w:t>
      </w:r>
      <w:r>
        <w:rPr>
          <w:rFonts w:hint="eastAsia" w:hAnsi="仿宋_GB2312"/>
          <w:sz w:val="32"/>
          <w:szCs w:val="32"/>
          <w:shd w:val="clear" w:color="auto" w:fill="FFFFFF"/>
          <w:lang w:val="en-US" w:eastAsia="zh-CN"/>
        </w:rPr>
        <w:t>各乡镇（街道、场）</w:t>
      </w:r>
      <w:r>
        <w:rPr>
          <w:rFonts w:hint="eastAsia" w:ascii="Times New Roman" w:hAnsi="仿宋_GB2312" w:eastAsia="仿宋_GB2312"/>
          <w:sz w:val="32"/>
          <w:szCs w:val="32"/>
          <w:shd w:val="clear" w:color="auto" w:fill="FFFFFF"/>
        </w:rPr>
        <w:t>、各部门要加强研究，认真对照，参照统一格式发布</w:t>
      </w:r>
      <w:r>
        <w:rPr>
          <w:rFonts w:hint="eastAsia" w:hAnsi="仿宋_GB2312"/>
          <w:sz w:val="32"/>
          <w:szCs w:val="32"/>
          <w:shd w:val="clear" w:color="auto" w:fill="FFFFFF"/>
          <w:lang w:eastAsia="zh-CN"/>
        </w:rPr>
        <w:t>。</w:t>
      </w:r>
    </w:p>
    <w:p w14:paraId="48E8E191">
      <w:pPr>
        <w:numPr>
          <w:ilvl w:val="0"/>
          <w:numId w:val="0"/>
        </w:numPr>
        <w:ind w:firstLine="640" w:firstLineChars="200"/>
        <w:jc w:val="left"/>
        <w:rPr>
          <w:rFonts w:hint="eastAsia" w:hAnsi="仿宋_GB2312"/>
          <w:sz w:val="32"/>
          <w:szCs w:val="32"/>
          <w:shd w:val="clear" w:color="auto" w:fill="FFFFFF"/>
          <w:lang w:eastAsia="zh-CN"/>
        </w:rPr>
      </w:pPr>
      <w:r>
        <w:rPr>
          <w:rFonts w:hint="eastAsia" w:ascii="黑体" w:hAnsi="黑体" w:eastAsia="黑体" w:cs="黑体"/>
          <w:b w:val="0"/>
          <w:bCs w:val="0"/>
          <w:sz w:val="32"/>
          <w:szCs w:val="32"/>
          <w:shd w:val="clear" w:color="auto" w:fill="FFFFFF"/>
          <w:lang w:val="en-US" w:eastAsia="zh-CN"/>
        </w:rPr>
        <w:t>二、内容要健全完善。</w:t>
      </w:r>
      <w:r>
        <w:rPr>
          <w:rFonts w:hint="eastAsia" w:hAnsi="仿宋_GB2312"/>
          <w:sz w:val="32"/>
          <w:szCs w:val="32"/>
          <w:shd w:val="clear" w:color="auto" w:fill="FFFFFF"/>
          <w:lang w:val="en-US" w:eastAsia="zh-CN"/>
        </w:rPr>
        <w:t>请参照2021年</w:t>
      </w:r>
      <w:r>
        <w:rPr>
          <w:rFonts w:hint="eastAsia" w:hAnsi="仿宋_GB2312"/>
          <w:sz w:val="32"/>
          <w:szCs w:val="32"/>
          <w:shd w:val="clear" w:color="auto" w:fill="FFFFFF"/>
          <w:lang w:eastAsia="zh-CN"/>
        </w:rPr>
        <w:t>政府信息公开工作年度报告模板，</w:t>
      </w:r>
      <w:r>
        <w:rPr>
          <w:rFonts w:hint="eastAsia" w:hAnsi="仿宋_GB2312"/>
          <w:sz w:val="32"/>
          <w:szCs w:val="32"/>
          <w:shd w:val="clear" w:color="auto" w:fill="FFFFFF"/>
          <w:lang w:val="en-US" w:eastAsia="zh-CN"/>
        </w:rPr>
        <w:t>发布主动公开、依申请公开、政府信息管理、政府信息公开平台建设、监督保障（含《中华人民共和国政府信息公开条例》第五十条第四项规定的各级人民政府“工作考核、社会评议和责任追究结果情况”）等方面内容，重在聚焦主题、简明客观，篇幅原则上不超过一千字。</w:t>
      </w:r>
    </w:p>
    <w:p w14:paraId="69788C7F">
      <w:pPr>
        <w:numPr>
          <w:ilvl w:val="0"/>
          <w:numId w:val="0"/>
        </w:numPr>
        <w:ind w:firstLine="640" w:firstLineChars="200"/>
        <w:jc w:val="left"/>
        <w:rPr>
          <w:rFonts w:hint="eastAsia" w:hAnsi="仿宋_GB2312"/>
          <w:sz w:val="32"/>
          <w:szCs w:val="32"/>
          <w:shd w:val="clear" w:color="auto" w:fill="FFFFFF"/>
          <w:lang w:eastAsia="zh-CN"/>
        </w:rPr>
      </w:pPr>
      <w:r>
        <w:rPr>
          <w:rFonts w:hint="eastAsia" w:ascii="黑体" w:hAnsi="黑体" w:eastAsia="黑体" w:cs="黑体"/>
          <w:b w:val="0"/>
          <w:bCs w:val="0"/>
          <w:sz w:val="32"/>
          <w:szCs w:val="32"/>
          <w:shd w:val="clear" w:color="auto" w:fill="FFFFFF"/>
          <w:lang w:val="en-US" w:eastAsia="zh-CN"/>
        </w:rPr>
        <w:t>三、质量要严格把握。</w:t>
      </w:r>
      <w:r>
        <w:rPr>
          <w:rFonts w:hint="eastAsia" w:hAnsi="仿宋_GB2312"/>
          <w:sz w:val="32"/>
          <w:szCs w:val="32"/>
          <w:shd w:val="clear" w:color="auto" w:fill="FFFFFF"/>
          <w:lang w:val="en-US" w:eastAsia="zh-CN"/>
        </w:rPr>
        <w:t>政府信息公开年报的内容重在实事求是、言简意赅，存在问题要有针对性，改进举措要有实效性，不得出现敷衍了事甚至年年雷同的现象。政府信息公开年报编制和发布工作是年度高质量发展考核指标，国务院、省政府、市政府将适时组织检查和查重，出现内容雷同、敷衍塞责等问题，一定会通报批评。如发生此类情况，相关责任自己承担。</w:t>
      </w:r>
    </w:p>
    <w:p w14:paraId="750A4D30">
      <w:pPr>
        <w:numPr>
          <w:ilvl w:val="0"/>
          <w:numId w:val="0"/>
        </w:numPr>
        <w:ind w:firstLine="640" w:firstLineChars="200"/>
        <w:jc w:val="left"/>
        <w:rPr>
          <w:rFonts w:hint="eastAsia" w:ascii="Times New Roman" w:hAnsi="仿宋_GB2312" w:eastAsia="仿宋_GB2312"/>
          <w:sz w:val="32"/>
          <w:szCs w:val="32"/>
          <w:shd w:val="clear" w:color="auto" w:fill="FFFFFF"/>
          <w:lang w:eastAsia="zh-CN"/>
        </w:rPr>
      </w:pPr>
      <w:r>
        <w:rPr>
          <w:rFonts w:hint="eastAsia" w:ascii="Times New Roman" w:hAnsi="仿宋_GB2312" w:eastAsia="仿宋_GB2312"/>
          <w:sz w:val="32"/>
          <w:szCs w:val="32"/>
          <w:shd w:val="clear" w:color="auto" w:fill="FFFFFF"/>
        </w:rPr>
        <w:t>请</w:t>
      </w:r>
      <w:r>
        <w:rPr>
          <w:rFonts w:hint="eastAsia" w:ascii="Times New Roman" w:hAnsi="仿宋_GB2312" w:eastAsia="仿宋_GB2312"/>
          <w:sz w:val="32"/>
          <w:szCs w:val="32"/>
          <w:shd w:val="clear" w:color="auto" w:fill="FFFFFF"/>
          <w:lang w:val="en-US" w:eastAsia="zh-CN"/>
        </w:rPr>
        <w:t>各乡镇（街道、场）</w:t>
      </w:r>
      <w:r>
        <w:rPr>
          <w:rFonts w:hint="eastAsia" w:ascii="Times New Roman" w:hAnsi="仿宋_GB2312" w:eastAsia="仿宋_GB2312"/>
          <w:sz w:val="32"/>
          <w:szCs w:val="32"/>
          <w:shd w:val="clear" w:color="auto" w:fill="FFFFFF"/>
        </w:rPr>
        <w:t>、各部门</w:t>
      </w:r>
      <w:r>
        <w:rPr>
          <w:rFonts w:hint="eastAsia" w:ascii="Times New Roman" w:hAnsi="仿宋_GB2312" w:eastAsia="仿宋_GB2312"/>
          <w:sz w:val="32"/>
          <w:szCs w:val="32"/>
          <w:shd w:val="clear" w:color="auto" w:fill="FFFFFF"/>
          <w:lang w:val="en-US" w:eastAsia="zh-CN"/>
        </w:rPr>
        <w:t>在2022年1月17日前，将经领导审核的</w:t>
      </w:r>
      <w:r>
        <w:rPr>
          <w:rFonts w:hint="eastAsia" w:ascii="Times New Roman" w:hAnsi="仿宋_GB2312" w:eastAsia="仿宋_GB2312"/>
          <w:sz w:val="32"/>
          <w:szCs w:val="32"/>
          <w:shd w:val="clear" w:color="auto" w:fill="FFFFFF"/>
        </w:rPr>
        <w:t>20</w:t>
      </w:r>
      <w:r>
        <w:rPr>
          <w:rFonts w:hint="eastAsia" w:ascii="Times New Roman" w:hAnsi="仿宋_GB2312" w:eastAsia="仿宋_GB2312"/>
          <w:sz w:val="32"/>
          <w:szCs w:val="32"/>
          <w:shd w:val="clear" w:color="auto" w:fill="FFFFFF"/>
          <w:lang w:val="en-US" w:eastAsia="zh-CN"/>
        </w:rPr>
        <w:t>21</w:t>
      </w:r>
      <w:r>
        <w:rPr>
          <w:rFonts w:hint="eastAsia" w:ascii="Times New Roman" w:hAnsi="仿宋_GB2312" w:eastAsia="仿宋_GB2312"/>
          <w:sz w:val="32"/>
          <w:szCs w:val="32"/>
          <w:shd w:val="clear" w:color="auto" w:fill="FFFFFF"/>
        </w:rPr>
        <w:t>年</w:t>
      </w:r>
      <w:r>
        <w:rPr>
          <w:rFonts w:hint="eastAsia" w:ascii="Times New Roman" w:hAnsi="仿宋_GB2312" w:eastAsia="仿宋_GB2312"/>
          <w:sz w:val="32"/>
          <w:szCs w:val="32"/>
          <w:shd w:val="clear" w:color="auto" w:fill="FFFFFF"/>
          <w:lang w:val="en-US" w:eastAsia="zh-CN"/>
        </w:rPr>
        <w:t>政府信息公开年报通过高安市人民政府网对外公开发布。</w:t>
      </w:r>
    </w:p>
    <w:p w14:paraId="5D87CB6C">
      <w:pPr>
        <w:numPr>
          <w:ilvl w:val="0"/>
          <w:numId w:val="0"/>
        </w:numPr>
        <w:ind w:firstLine="640" w:firstLineChars="200"/>
        <w:jc w:val="left"/>
        <w:rPr>
          <w:rFonts w:hint="eastAsia" w:hAnsi="仿宋_GB2312"/>
          <w:sz w:val="32"/>
          <w:szCs w:val="32"/>
          <w:shd w:val="clear" w:color="auto" w:fill="FFFFFF"/>
          <w:lang w:val="en-US" w:eastAsia="zh-CN"/>
        </w:rPr>
      </w:pPr>
    </w:p>
    <w:p w14:paraId="027FE5A8">
      <w:pPr>
        <w:numPr>
          <w:ilvl w:val="0"/>
          <w:numId w:val="0"/>
        </w:numPr>
        <w:ind w:firstLine="640" w:firstLineChars="200"/>
        <w:jc w:val="left"/>
        <w:rPr>
          <w:rFonts w:hint="eastAsia" w:hAnsi="仿宋_GB2312"/>
          <w:sz w:val="32"/>
          <w:szCs w:val="32"/>
          <w:shd w:val="clear" w:color="auto" w:fill="FFFFFF"/>
          <w:lang w:val="en-US" w:eastAsia="zh-CN"/>
        </w:rPr>
      </w:pPr>
      <w:r>
        <w:rPr>
          <w:rFonts w:hint="eastAsia" w:hAnsi="仿宋_GB2312"/>
          <w:sz w:val="32"/>
          <w:szCs w:val="32"/>
          <w:shd w:val="clear" w:color="auto" w:fill="FFFFFF"/>
          <w:lang w:val="en-US" w:eastAsia="zh-CN"/>
        </w:rPr>
        <w:t>附件：1、高安市XX2021年政府信息公开工作年度报告</w:t>
      </w:r>
    </w:p>
    <w:p w14:paraId="74BE1049">
      <w:pPr>
        <w:spacing w:line="560" w:lineRule="exact"/>
        <w:ind w:left="0" w:leftChars="0" w:firstLine="1600" w:firstLineChars="500"/>
        <w:jc w:val="both"/>
        <w:rPr>
          <w:rFonts w:hint="eastAsia" w:ascii="方正小标宋简体" w:hAnsi="方正小标宋简体" w:eastAsia="方正小标宋简体" w:cs="方正小标宋简体"/>
          <w:sz w:val="44"/>
          <w:szCs w:val="44"/>
        </w:rPr>
      </w:pPr>
      <w:r>
        <w:rPr>
          <w:rFonts w:hint="eastAsia" w:hAnsi="仿宋_GB2312"/>
          <w:sz w:val="32"/>
          <w:szCs w:val="32"/>
          <w:shd w:val="clear" w:color="auto" w:fill="FFFFFF"/>
          <w:lang w:val="en-US" w:eastAsia="zh-CN"/>
        </w:rPr>
        <w:t>2、政府信息公开工作年度报告编制说明</w:t>
      </w:r>
    </w:p>
    <w:p w14:paraId="5E0E72FC">
      <w:pPr>
        <w:numPr>
          <w:ilvl w:val="0"/>
          <w:numId w:val="0"/>
        </w:numPr>
        <w:ind w:firstLine="640" w:firstLineChars="200"/>
        <w:jc w:val="left"/>
        <w:rPr>
          <w:rFonts w:hint="default" w:hAnsi="仿宋_GB2312"/>
          <w:sz w:val="32"/>
          <w:szCs w:val="32"/>
          <w:shd w:val="clear" w:color="auto" w:fill="FFFFFF"/>
          <w:lang w:val="en-US" w:eastAsia="zh-CN"/>
        </w:rPr>
      </w:pPr>
    </w:p>
    <w:p w14:paraId="4204AE2B">
      <w:pPr>
        <w:numPr>
          <w:ilvl w:val="0"/>
          <w:numId w:val="0"/>
        </w:numPr>
        <w:ind w:firstLine="640" w:firstLineChars="200"/>
        <w:jc w:val="left"/>
        <w:rPr>
          <w:rFonts w:hint="eastAsia" w:hAnsi="仿宋_GB2312"/>
          <w:sz w:val="32"/>
          <w:szCs w:val="32"/>
          <w:shd w:val="clear" w:color="auto" w:fill="FFFFFF"/>
          <w:lang w:val="en-US" w:eastAsia="zh-CN"/>
        </w:rPr>
      </w:pPr>
    </w:p>
    <w:p w14:paraId="28295DDA">
      <w:pPr>
        <w:numPr>
          <w:ilvl w:val="0"/>
          <w:numId w:val="0"/>
        </w:numPr>
        <w:ind w:firstLine="640" w:firstLineChars="200"/>
        <w:jc w:val="left"/>
        <w:rPr>
          <w:rFonts w:hint="eastAsia" w:hAnsi="仿宋_GB2312"/>
          <w:sz w:val="32"/>
          <w:szCs w:val="32"/>
          <w:shd w:val="clear" w:color="auto" w:fill="FFFFFF"/>
          <w:lang w:val="en-US" w:eastAsia="zh-CN"/>
        </w:rPr>
      </w:pPr>
    </w:p>
    <w:p w14:paraId="394F0367">
      <w:pPr>
        <w:numPr>
          <w:ilvl w:val="0"/>
          <w:numId w:val="0"/>
        </w:numPr>
        <w:wordWrap w:val="0"/>
        <w:jc w:val="right"/>
        <w:rPr>
          <w:rFonts w:hint="default" w:hAnsi="仿宋_GB2312"/>
          <w:sz w:val="32"/>
          <w:szCs w:val="32"/>
          <w:shd w:val="clear" w:color="auto" w:fill="FFFFFF"/>
          <w:lang w:val="en-US" w:eastAsia="zh-CN"/>
        </w:rPr>
      </w:pPr>
      <w:r>
        <w:rPr>
          <w:rFonts w:hint="eastAsia" w:hAnsi="仿宋_GB2312"/>
          <w:sz w:val="32"/>
          <w:szCs w:val="32"/>
          <w:shd w:val="clear" w:color="auto" w:fill="FFFFFF"/>
          <w:lang w:val="en-US" w:eastAsia="zh-CN"/>
        </w:rPr>
        <w:t xml:space="preserve">高安市人民政府办公室    </w:t>
      </w:r>
    </w:p>
    <w:p w14:paraId="357CFE2A">
      <w:pPr>
        <w:numPr>
          <w:ilvl w:val="0"/>
          <w:numId w:val="0"/>
        </w:numPr>
        <w:wordWrap w:val="0"/>
        <w:jc w:val="right"/>
        <w:rPr>
          <w:rFonts w:hint="default"/>
          <w:lang w:val="en-US"/>
        </w:rPr>
      </w:pPr>
      <w:r>
        <w:rPr>
          <w:rFonts w:hint="eastAsia" w:hAnsi="仿宋_GB2312"/>
          <w:sz w:val="32"/>
          <w:szCs w:val="32"/>
          <w:shd w:val="clear" w:color="auto" w:fill="FFFFFF"/>
          <w:lang w:val="en-US" w:eastAsia="zh-CN"/>
        </w:rPr>
        <w:t xml:space="preserve">2022年1月10日      </w:t>
      </w:r>
    </w:p>
    <w:p w14:paraId="2E3C2B6C"/>
    <w:p w14:paraId="06B33D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0" w:firstLineChars="0"/>
        <w:jc w:val="both"/>
        <w:rPr>
          <w:rFonts w:hint="eastAsia" w:ascii="宋体" w:hAnsi="宋体" w:eastAsia="宋体" w:cs="宋体"/>
          <w:b/>
          <w:bCs/>
          <w:i w:val="0"/>
          <w:iCs w:val="0"/>
          <w:caps w:val="0"/>
          <w:color w:val="333333"/>
          <w:spacing w:val="0"/>
          <w:kern w:val="0"/>
          <w:sz w:val="24"/>
          <w:szCs w:val="24"/>
          <w:shd w:val="clear" w:fill="FFFFFF"/>
          <w:lang w:val="en-US" w:eastAsia="zh-CN" w:bidi="ar"/>
        </w:rPr>
      </w:pPr>
    </w:p>
    <w:p w14:paraId="4B6FDF64">
      <w:pPr>
        <w:widowControl/>
        <w:shd w:val="clear" w:color="auto" w:fill="FFFFFF"/>
        <w:ind w:firstLine="0" w:firstLineChars="0"/>
        <w:rPr>
          <w:rFonts w:hint="eastAsia" w:ascii="仿宋_GB2312" w:hAnsi="仿宋_GB2312" w:eastAsia="仿宋_GB2312" w:cs="仿宋_GB2312"/>
          <w:color w:val="000000" w:themeColor="text1"/>
          <w:sz w:val="32"/>
          <w:szCs w:val="32"/>
          <w14:textFill>
            <w14:solidFill>
              <w14:schemeClr w14:val="tx1"/>
            </w14:solidFill>
          </w14:textFill>
        </w:rPr>
      </w:pPr>
    </w:p>
    <w:p w14:paraId="10403A33">
      <w:pPr>
        <w:widowControl/>
        <w:shd w:val="clear" w:color="auto" w:fill="FFFFFF"/>
        <w:ind w:firstLine="0" w:firstLineChars="0"/>
        <w:rPr>
          <w:rFonts w:hint="eastAsia" w:ascii="仿宋_GB2312" w:hAnsi="仿宋_GB2312" w:eastAsia="仿宋_GB2312" w:cs="仿宋_GB2312"/>
          <w:color w:val="000000" w:themeColor="text1"/>
          <w:sz w:val="32"/>
          <w:szCs w:val="32"/>
          <w14:textFill>
            <w14:solidFill>
              <w14:schemeClr w14:val="tx1"/>
            </w14:solidFill>
          </w14:textFill>
        </w:rPr>
      </w:pPr>
    </w:p>
    <w:p w14:paraId="294C2382">
      <w:pPr>
        <w:keepNext w:val="0"/>
        <w:keepLines w:val="0"/>
        <w:pageBreakBefore/>
        <w:widowControl/>
        <w:shd w:val="clear" w:color="auto" w:fill="FFFFFF"/>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cs="仿宋_GB2312"/>
          <w:color w:val="000000" w:themeColor="text1"/>
          <w:sz w:val="32"/>
          <w:szCs w:val="32"/>
          <w:lang w:val="en-US" w:eastAsia="zh-CN"/>
          <w14:textFill>
            <w14:solidFill>
              <w14:schemeClr w14:val="tx1"/>
            </w14:solidFill>
          </w14:textFill>
        </w:rPr>
        <w:t>1</w:t>
      </w:r>
    </w:p>
    <w:p w14:paraId="2D115B27">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高安市XX2021年</w:t>
      </w:r>
      <w:r>
        <w:rPr>
          <w:rFonts w:hint="eastAsia" w:ascii="方正小标宋简体" w:hAnsi="方正小标宋简体" w:eastAsia="方正小标宋简体" w:cs="Times New Roman"/>
          <w:sz w:val="40"/>
          <w:szCs w:val="40"/>
        </w:rPr>
        <w:t>政府信息公开工作年度报告</w:t>
      </w:r>
    </w:p>
    <w:p w14:paraId="7D32471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82" w:firstLineChars="200"/>
        <w:jc w:val="both"/>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p>
    <w:p w14:paraId="544C468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14:paraId="2BBAB96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14:paraId="3B3B89C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14:paraId="0C633E5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14:paraId="220EB89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14:paraId="38548E7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五</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14:paraId="7FB5F40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32BEA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7B9D9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14:paraId="31EF7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30D35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CA229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59EB5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44F03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17A4D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2F63A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7CAD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rPr>
            </w:pP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45111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rPr>
            </w:pP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69CE0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rPr>
            </w:pPr>
          </w:p>
        </w:tc>
      </w:tr>
      <w:tr w14:paraId="19298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9DA85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700FD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val="0"/>
                <w:bCs w:val="0"/>
                <w:color w:val="000000"/>
                <w:kern w:val="0"/>
                <w:sz w:val="32"/>
                <w:szCs w:val="32"/>
                <w:lang w:val="en-US" w:eastAsia="zh-CN" w:bidi="ar"/>
              </w:rPr>
              <w:t>　　</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655EE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val="0"/>
                <w:bCs w:val="0"/>
                <w:color w:val="000000"/>
                <w:kern w:val="0"/>
                <w:sz w:val="32"/>
                <w:szCs w:val="32"/>
                <w:lang w:val="en-US" w:eastAsia="zh-CN" w:bidi="ar"/>
              </w:rPr>
              <w:t> 　</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18222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val="0"/>
                <w:bCs w:val="0"/>
                <w:kern w:val="0"/>
                <w:sz w:val="32"/>
                <w:szCs w:val="32"/>
                <w:lang w:val="en-US" w:eastAsia="zh-CN" w:bidi="ar"/>
              </w:rPr>
              <w:t> </w:t>
            </w:r>
          </w:p>
        </w:tc>
      </w:tr>
      <w:tr w14:paraId="59E61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E9786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17D22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4D8E3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5B264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21B13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902A2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7B547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rPr>
            </w:pPr>
            <w:r>
              <w:rPr>
                <w:rFonts w:hint="eastAsia" w:ascii="楷体_GB2312" w:hAnsi="楷体_GB2312" w:eastAsia="楷体_GB2312" w:cs="楷体_GB2312"/>
                <w:b/>
                <w:bCs/>
                <w:kern w:val="0"/>
                <w:sz w:val="32"/>
                <w:szCs w:val="32"/>
                <w:lang w:val="en-US" w:eastAsia="zh-CN" w:bidi="ar"/>
              </w:rPr>
              <w:t> </w:t>
            </w:r>
          </w:p>
        </w:tc>
      </w:tr>
      <w:tr w14:paraId="24F85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B2E6C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2ED87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E74AB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2E38D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3B445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F9A4E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4DA09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w:t>
            </w:r>
          </w:p>
        </w:tc>
      </w:tr>
      <w:tr w14:paraId="4BA39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3A456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A7B11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w:t>
            </w:r>
          </w:p>
        </w:tc>
      </w:tr>
      <w:tr w14:paraId="72F1F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83202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11A9E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60323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08EEC7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17B2D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A21BA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1B810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rPr>
            </w:pPr>
          </w:p>
        </w:tc>
      </w:tr>
    </w:tbl>
    <w:p w14:paraId="6F1433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0C9EDE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20272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24C7A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75B5F1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0003614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2D38C4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5267F4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68D2C4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34EA9C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2A4ABD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A3290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39E90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1FC0BDF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7E0FB0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027F326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698AC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4DF4D1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73351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338AB4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61B19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ED9C5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69EC7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D56317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54EA78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F922F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F1110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F7083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4EC0B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F829A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C80CF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35F72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1FDDE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4C8B38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03084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D1D92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93BB1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041FE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C5EE6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3A763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DF19D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72434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01E326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D2F06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63378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39752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0EB10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2A717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6C971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5F54E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CD465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527874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3594D7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3B80D4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F8A40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FCB5A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EFDD6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62EBB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131ED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AF4B1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0758D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BF479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7747A3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5E8CD8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4CBEFC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88365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CD992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E86F6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90DB7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312785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A8231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36A60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4C414E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7EEE58C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1D9FB7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9EE17C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527CE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79ACD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9DB55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E8DDD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CFC2C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1B02B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D7701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0DE59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37FE74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0A4359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B9F085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B95CE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7343DE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DF446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23AF0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3F14F0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D6E6E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05A48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2724D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1BEEE2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2A17B6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0B9DA3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DBCB0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9A523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AC8F9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3A904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5F394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3269A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815CC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C27FE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5623A98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589EEB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AA734A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C85D9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4A61E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D1A81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C8673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6828E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B8D19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4FF77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FE501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2A9D70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181952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DC8D35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52388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55AE7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7E55A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F77A2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B77A3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2BB57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3F7BA6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61E39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2425E8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06DF16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1820F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1112F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262A1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56141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A51FC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D1E5D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A8DF9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EDA17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79B0F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0550B4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AEDF45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803AD7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39FE3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07983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5E343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97308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A6C0E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4F35BB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BCA15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DE8FD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5B4A3A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06E330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4BAA10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2357D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482D95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1B40A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AFA0A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E801D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0E2F2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2ED14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97670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29FA0C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DF16FB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B8FEB0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FE9D3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4A048F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A19F9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B1D67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6D6C42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9C944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71041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89EBF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27BE73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E13A96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E45CE1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99465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B13D2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B9A05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4BD36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E58B1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84D47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76AAD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E7B1A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18677C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38C3D6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593A5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6FF70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707B23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2282A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4BC8D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649C9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87433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44E1D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1B55E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4D9826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B8D57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968286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488B7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9CD85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E6B1B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DA03A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00BFD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FAC6F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35611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DB58C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4CEA76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24E6F2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CFE23B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747AC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78954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88D11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0D3721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4D62C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60347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1EB2F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3AAEF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3D0E45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F4B1C7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1A9156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21DD6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90378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A9ED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E6141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17D3C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CC19C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10217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45FA5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7262C8F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C9089E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3C615D4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7AC762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14:paraId="379766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14:paraId="42CF60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14:paraId="32B61D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14:paraId="2DBB1B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14:paraId="5DCEA6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14:paraId="3FE581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14:paraId="15CEF4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5FB25B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A7E6FE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AB52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1BE3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2E0DE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D9757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4A4F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420C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9F84D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0411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97A4E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00B758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156152F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2DA4F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5E65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7354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EEBA8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90F3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C49E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3CB3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D505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F5B4D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13A3F1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87B551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E87C0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3924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59D4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D0CD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D672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4774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A8BF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E928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06235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0076A1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86B9A7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776F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B424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53D8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FBD0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5BA3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0E14C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3802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836CB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14:paraId="18ECB5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DF430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6B2B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049F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60FC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45D88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D895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C539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3920D3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bl>
    <w:p w14:paraId="50BF5E74">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7370C0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2D02F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A8E3A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4D1D64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67353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42E3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27CF2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F1B15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4E996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41A9F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335D3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7F79E7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122D8EF">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A32AB0">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3EDAE43">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8BE6461">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7944BBE">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82621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DBB83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2D3F6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0EC05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F2A7A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82219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B8FF7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DFE82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82E4B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10411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1D4D1B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A759C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0DDF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B84A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4D5F6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60732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1683C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C610A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15ABF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82FC7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9FEA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2744F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90EF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979D8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794D3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08F057">
            <w:pPr>
              <w:spacing w:line="240" w:lineRule="auto"/>
              <w:ind w:firstLine="0" w:firstLineChars="0"/>
              <w:rPr>
                <w:rFonts w:hint="eastAsia" w:ascii="仿宋_GB2312" w:hAnsi="仿宋_GB2312" w:eastAsia="仿宋_GB2312" w:cs="仿宋_GB2312"/>
                <w:sz w:val="24"/>
                <w:szCs w:val="24"/>
              </w:rPr>
            </w:pPr>
          </w:p>
        </w:tc>
      </w:tr>
    </w:tbl>
    <w:p w14:paraId="3E3A37BC">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14:paraId="06EC27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2134287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文字描述</w:t>
      </w:r>
    </w:p>
    <w:p w14:paraId="25AFC60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3C12FF4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文字描述，收取信息处理费情况在此处报告。</w:t>
      </w:r>
    </w:p>
    <w:p w14:paraId="2B6EC0A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0" w:firstLineChars="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559DD1F5">
      <w:pPr>
        <w:keepNext w:val="0"/>
        <w:keepLines w:val="0"/>
        <w:pageBreakBefore/>
        <w:widowControl/>
        <w:shd w:val="clear" w:color="auto" w:fill="FFFFFF"/>
        <w:kinsoku/>
        <w:wordWrap/>
        <w:overflowPunct/>
        <w:topLinePunct w:val="0"/>
        <w:autoSpaceDE/>
        <w:autoSpaceDN/>
        <w:bidi w:val="0"/>
        <w:adjustRightInd/>
        <w:snapToGrid/>
        <w:ind w:firstLine="0" w:firstLineChars="0"/>
        <w:textAlignment w:val="auto"/>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cs="仿宋_GB2312"/>
          <w:color w:val="000000" w:themeColor="text1"/>
          <w:sz w:val="32"/>
          <w:szCs w:val="32"/>
          <w:lang w:val="en-US" w:eastAsia="zh-CN"/>
          <w14:textFill>
            <w14:solidFill>
              <w14:schemeClr w14:val="tx1"/>
            </w14:solidFill>
          </w14:textFill>
        </w:rPr>
        <w:t>2</w:t>
      </w:r>
    </w:p>
    <w:p w14:paraId="5B62ECF8">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p>
    <w:p w14:paraId="6B1E7819">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rPr>
      </w:pPr>
      <w:r>
        <w:rPr>
          <w:rFonts w:hint="eastAsia" w:ascii="方正小标宋简体" w:hAnsi="方正小标宋简体" w:eastAsia="方正小标宋简体" w:cs="方正小标宋简体"/>
          <w:sz w:val="44"/>
          <w:szCs w:val="44"/>
        </w:rPr>
        <w:t>政府信息公开工作年度报告编制说明</w:t>
      </w:r>
    </w:p>
    <w:p w14:paraId="7C09FB0B">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rPr>
      </w:pPr>
    </w:p>
    <w:p w14:paraId="26B97173">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政府信息公开工作年度报告分为6部分，分别是：</w:t>
      </w:r>
    </w:p>
    <w:p w14:paraId="599C9F45">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1.总体情况；</w:t>
      </w:r>
    </w:p>
    <w:p w14:paraId="0D890751">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2.主动公开政府信息情况；</w:t>
      </w:r>
    </w:p>
    <w:p w14:paraId="1FAE928E">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3.收到和处理政府信息公开申请情况；</w:t>
      </w:r>
    </w:p>
    <w:p w14:paraId="138BBB32">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4.政府信息公开行政复议、行政诉讼情况；</w:t>
      </w:r>
    </w:p>
    <w:p w14:paraId="0CFD5BC8">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5.存在的主要问题及改进情况；</w:t>
      </w:r>
    </w:p>
    <w:p w14:paraId="6D9D8270">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6.其他需要报告的事项。</w:t>
      </w:r>
    </w:p>
    <w:p w14:paraId="21794806">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宋体"/>
          <w:sz w:val="32"/>
          <w:szCs w:val="32"/>
        </w:rPr>
      </w:pPr>
      <w:r>
        <w:rPr>
          <w:rFonts w:hint="eastAsia" w:ascii="黑体" w:hAnsi="黑体" w:eastAsia="黑体" w:cs="宋体"/>
          <w:sz w:val="32"/>
          <w:szCs w:val="32"/>
        </w:rPr>
        <w:t>一、总体情况</w:t>
      </w:r>
    </w:p>
    <w:p w14:paraId="0D96A4BE">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宋体"/>
          <w:sz w:val="32"/>
          <w:szCs w:val="32"/>
        </w:rPr>
      </w:pPr>
      <w:r>
        <w:rPr>
          <w:rFonts w:hint="eastAsia" w:ascii="仿宋_GB2312" w:hAnsi="宋体" w:eastAsia="仿宋_GB2312" w:cs="宋体"/>
          <w:sz w:val="32"/>
          <w:szCs w:val="32"/>
        </w:rPr>
        <w:t>该部分采用文字描述。</w:t>
      </w:r>
    </w:p>
    <w:p w14:paraId="122B5283">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rPr>
        <w:t>这一项主要报告本机关上一年度政府信息公开工作总体情况，对本机关贯彻落实《中华人民共和国政府信息公开条例》情况进行综述，主要包括5个方面：主动公开、依申请公开、政府信息管理、</w:t>
      </w:r>
      <w:r>
        <w:rPr>
          <w:rFonts w:hint="eastAsia" w:ascii="仿宋_GB2312" w:hAnsi="宋体" w:eastAsia="仿宋_GB2312" w:cs="宋体"/>
          <w:sz w:val="32"/>
          <w:szCs w:val="32"/>
          <w:lang w:val="en-US" w:eastAsia="zh-CN"/>
        </w:rPr>
        <w:t>政府信息公开</w:t>
      </w:r>
      <w:r>
        <w:rPr>
          <w:rFonts w:hint="eastAsia" w:ascii="仿宋_GB2312" w:hAnsi="宋体" w:eastAsia="仿宋_GB2312" w:cs="宋体"/>
          <w:sz w:val="32"/>
          <w:szCs w:val="32"/>
        </w:rPr>
        <w:t>平台建设、监督保障（含《中华人民共和国政府信息公开条例》第五十条第四项规定的各级人民政府“工作考核、社会评议和责任追究结果情况”）等方面</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重在聚焦主题</w:t>
      </w:r>
      <w:r>
        <w:rPr>
          <w:rFonts w:hint="eastAsia" w:ascii="仿宋_GB2312" w:hAnsi="宋体" w:eastAsia="仿宋_GB2312" w:cs="宋体"/>
          <w:sz w:val="32"/>
          <w:szCs w:val="32"/>
          <w:lang w:eastAsia="zh-CN"/>
        </w:rPr>
        <w:t>、简明客观</w:t>
      </w:r>
      <w:r>
        <w:rPr>
          <w:rFonts w:hint="eastAsia" w:ascii="仿宋_GB2312" w:hAnsi="宋体" w:eastAsia="仿宋_GB2312" w:cs="宋体"/>
          <w:sz w:val="32"/>
          <w:szCs w:val="32"/>
        </w:rPr>
        <w:t>。</w:t>
      </w:r>
    </w:p>
    <w:p w14:paraId="6EC032E4">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宋体"/>
          <w:sz w:val="32"/>
          <w:szCs w:val="32"/>
        </w:rPr>
      </w:pPr>
      <w:r>
        <w:rPr>
          <w:rFonts w:hint="eastAsia" w:ascii="黑体" w:hAnsi="黑体" w:eastAsia="黑体" w:cs="宋体"/>
          <w:sz w:val="32"/>
          <w:szCs w:val="32"/>
        </w:rPr>
        <w:t>二、主动公开政府信息情况</w:t>
      </w:r>
    </w:p>
    <w:p w14:paraId="5900FE4E">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rPr>
        <w:t>该部分以表格形式报告。表格如下：</w:t>
      </w:r>
    </w:p>
    <w:p w14:paraId="525EDF4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宋体" w:eastAsia="仿宋_GB2312" w:cs="宋体"/>
          <w:sz w:val="32"/>
          <w:szCs w:val="32"/>
        </w:rPr>
      </w:pPr>
    </w:p>
    <w:p w14:paraId="1FAD36A1">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宋体" w:eastAsia="仿宋_GB2312" w:cs="宋体"/>
          <w:sz w:val="32"/>
          <w:szCs w:val="32"/>
        </w:rPr>
      </w:pP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14:paraId="7024B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3F9A6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第二十条第（一）项</w:t>
            </w:r>
          </w:p>
        </w:tc>
      </w:tr>
      <w:tr w14:paraId="5DDE0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CB8BA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E4B2B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本年</w:t>
            </w:r>
            <w:r>
              <w:rPr>
                <w:rFonts w:hint="eastAsia" w:ascii="仿宋_GB2312" w:hAnsi="仿宋_GB2312" w:eastAsia="仿宋_GB2312" w:cs="仿宋_GB2312"/>
                <w:kern w:val="0"/>
                <w:sz w:val="24"/>
                <w:szCs w:val="24"/>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1CF73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A6FDA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现行有效件</w:t>
            </w:r>
            <w:r>
              <w:rPr>
                <w:rFonts w:hint="eastAsia" w:ascii="仿宋_GB2312" w:hAnsi="仿宋_GB2312" w:eastAsia="仿宋_GB2312" w:cs="仿宋_GB2312"/>
                <w:kern w:val="0"/>
                <w:sz w:val="24"/>
                <w:szCs w:val="24"/>
                <w:lang w:val="en-US" w:eastAsia="zh-CN" w:bidi="ar"/>
              </w:rPr>
              <w:t>数</w:t>
            </w:r>
          </w:p>
        </w:tc>
      </w:tr>
      <w:tr w14:paraId="1BC42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E6F11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4516E9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　　</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3C0B23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 　</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30E7E8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60BCA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C890E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6D0BAA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　　</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6FC1E4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 　</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52C41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2A70B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2E137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第二十条第（五）项</w:t>
            </w:r>
          </w:p>
        </w:tc>
      </w:tr>
      <w:tr w14:paraId="51245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3780E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654F8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本年处理决定数量</w:t>
            </w:r>
          </w:p>
        </w:tc>
      </w:tr>
      <w:tr w14:paraId="544DD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748E0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95952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31763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99C62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第二十条第（六）项</w:t>
            </w:r>
          </w:p>
        </w:tc>
      </w:tr>
      <w:tr w14:paraId="73138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E8C64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71706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本年处理决定数量</w:t>
            </w:r>
          </w:p>
        </w:tc>
      </w:tr>
      <w:tr w14:paraId="0FBC6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B0636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11D9E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　</w:t>
            </w:r>
          </w:p>
        </w:tc>
      </w:tr>
      <w:tr w14:paraId="71A43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6"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47094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45D11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　</w:t>
            </w:r>
          </w:p>
        </w:tc>
      </w:tr>
      <w:tr w14:paraId="11A7C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37540D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第二十条第（八）项</w:t>
            </w:r>
          </w:p>
        </w:tc>
      </w:tr>
      <w:tr w14:paraId="5B526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FE5E6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81F48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本年收费金额（单位：万元）</w:t>
            </w:r>
          </w:p>
        </w:tc>
      </w:tr>
      <w:tr w14:paraId="40E0C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BFB46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68263A66">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4"/>
                <w:szCs w:val="24"/>
              </w:rPr>
            </w:pPr>
          </w:p>
        </w:tc>
      </w:tr>
    </w:tbl>
    <w:p w14:paraId="26F5C7B2">
      <w:pPr>
        <w:keepNext w:val="0"/>
        <w:keepLines w:val="0"/>
        <w:pageBreakBefore w:val="0"/>
        <w:kinsoku/>
        <w:wordWrap/>
        <w:overflowPunct/>
        <w:topLinePunct w:val="0"/>
        <w:autoSpaceDE/>
        <w:autoSpaceDN/>
        <w:bidi w:val="0"/>
        <w:adjustRightInd/>
        <w:snapToGrid/>
        <w:spacing w:line="590" w:lineRule="exact"/>
        <w:ind w:firstLine="643" w:firstLineChars="200"/>
        <w:textAlignment w:val="auto"/>
        <w:rPr>
          <w:rFonts w:hint="eastAsia" w:ascii="楷体" w:hAnsi="楷体" w:eastAsia="楷体" w:cs="宋体"/>
          <w:b/>
          <w:kern w:val="0"/>
          <w:sz w:val="32"/>
          <w:szCs w:val="32"/>
        </w:rPr>
      </w:pPr>
      <w:r>
        <w:rPr>
          <w:rFonts w:hint="eastAsia" w:ascii="楷体" w:hAnsi="楷体" w:eastAsia="楷体" w:cs="宋体"/>
          <w:b/>
          <w:kern w:val="0"/>
          <w:sz w:val="32"/>
          <w:szCs w:val="32"/>
        </w:rPr>
        <w:t>（一）填表说明</w:t>
      </w:r>
    </w:p>
    <w:p w14:paraId="60A1AAC2">
      <w:pPr>
        <w:keepNext w:val="0"/>
        <w:keepLines w:val="0"/>
        <w:pageBreakBefore w:val="0"/>
        <w:kinsoku/>
        <w:wordWrap/>
        <w:overflowPunct/>
        <w:topLinePunct w:val="0"/>
        <w:autoSpaceDE/>
        <w:autoSpaceDN/>
        <w:bidi w:val="0"/>
        <w:adjustRightInd/>
        <w:snapToGrid/>
        <w:spacing w:line="590" w:lineRule="exact"/>
        <w:ind w:firstLine="643" w:firstLineChars="200"/>
        <w:textAlignment w:val="auto"/>
        <w:rPr>
          <w:rFonts w:hint="eastAsia" w:ascii="仿宋_GB2312" w:hAnsi="宋体" w:eastAsia="仿宋_GB2312" w:cs="宋体"/>
          <w:b/>
          <w:kern w:val="0"/>
          <w:sz w:val="32"/>
          <w:szCs w:val="32"/>
        </w:rPr>
      </w:pPr>
      <w:r>
        <w:rPr>
          <w:rFonts w:hint="eastAsia" w:ascii="仿宋_GB2312" w:hAnsi="宋体" w:eastAsia="仿宋_GB2312" w:cs="宋体"/>
          <w:b/>
          <w:kern w:val="0"/>
          <w:sz w:val="32"/>
          <w:szCs w:val="32"/>
        </w:rPr>
        <w:t>1.</w:t>
      </w:r>
      <w:r>
        <w:rPr>
          <w:rFonts w:ascii="仿宋_GB2312" w:hAnsi="宋体" w:eastAsia="仿宋_GB2312" w:cs="宋体"/>
          <w:b/>
          <w:kern w:val="0"/>
          <w:sz w:val="32"/>
          <w:szCs w:val="32"/>
        </w:rPr>
        <w:t>规章</w:t>
      </w:r>
    </w:p>
    <w:p w14:paraId="22451CCD">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仿宋_GB2312" w:hAnsi="宋体" w:eastAsia="仿宋_GB2312" w:cs="宋体"/>
          <w:b/>
          <w:kern w:val="0"/>
          <w:sz w:val="32"/>
          <w:szCs w:val="32"/>
        </w:rPr>
      </w:pPr>
      <w:r>
        <w:rPr>
          <w:rFonts w:hint="eastAsia" w:ascii="仿宋_GB2312" w:hAnsi="宋体" w:eastAsia="仿宋_GB2312" w:cs="宋体"/>
          <w:kern w:val="0"/>
          <w:sz w:val="32"/>
          <w:szCs w:val="32"/>
        </w:rPr>
        <w:t>《</w:t>
      </w:r>
      <w:r>
        <w:rPr>
          <w:rFonts w:hint="eastAsia" w:ascii="仿宋_GB2312" w:hAnsi="宋体" w:cs="宋体"/>
          <w:kern w:val="0"/>
          <w:sz w:val="32"/>
          <w:szCs w:val="32"/>
          <w:lang w:eastAsia="zh-CN"/>
        </w:rPr>
        <w:t>中华人民共和国</w:t>
      </w:r>
      <w:bookmarkStart w:id="0" w:name="_GoBack"/>
      <w:bookmarkEnd w:id="0"/>
      <w:r>
        <w:rPr>
          <w:rFonts w:hint="eastAsia" w:ascii="仿宋_GB2312" w:hAnsi="宋体" w:eastAsia="仿宋_GB2312" w:cs="宋体"/>
          <w:kern w:val="0"/>
          <w:sz w:val="32"/>
          <w:szCs w:val="32"/>
        </w:rPr>
        <w:t>立法法》规定，省、自治区、直辖市和设区的市、自治州的人民政府，可以根据法律、行政法规和本省、自治区、直辖市的地方性法规，制定规章</w:t>
      </w:r>
      <w:r>
        <w:rPr>
          <w:rFonts w:ascii="仿宋_GB2312" w:hAnsi="宋体" w:eastAsia="仿宋_GB2312" w:cs="宋体"/>
          <w:kern w:val="0"/>
          <w:sz w:val="32"/>
          <w:szCs w:val="32"/>
        </w:rPr>
        <w:t>。</w:t>
      </w:r>
      <w:r>
        <w:rPr>
          <w:rFonts w:ascii="仿宋_GB2312" w:hAnsi="宋体" w:eastAsia="仿宋_GB2312" w:cs="宋体"/>
          <w:b/>
          <w:bCs/>
          <w:kern w:val="0"/>
          <w:sz w:val="32"/>
          <w:szCs w:val="32"/>
        </w:rPr>
        <w:t>没有的填“0”，不得空白或者填入其他内容。</w:t>
      </w:r>
      <w:r>
        <w:rPr>
          <w:rFonts w:hint="eastAsia" w:ascii="仿宋_GB2312" w:hAnsi="宋体" w:eastAsia="仿宋_GB2312" w:cs="宋体"/>
          <w:kern w:val="0"/>
          <w:sz w:val="32"/>
          <w:szCs w:val="32"/>
          <w:lang w:eastAsia="zh-CN"/>
        </w:rPr>
        <w:t>各项数据核定时间点为</w:t>
      </w:r>
      <w:r>
        <w:rPr>
          <w:rFonts w:hint="eastAsia" w:ascii="仿宋_GB2312" w:hAnsi="宋体" w:eastAsia="仿宋_GB2312" w:cs="宋体"/>
          <w:kern w:val="0"/>
          <w:sz w:val="32"/>
          <w:szCs w:val="32"/>
          <w:lang w:val="en-US" w:eastAsia="zh-CN"/>
        </w:rPr>
        <w:t>12月31日。</w:t>
      </w:r>
    </w:p>
    <w:p w14:paraId="7EE84567">
      <w:pPr>
        <w:keepNext w:val="0"/>
        <w:keepLines w:val="0"/>
        <w:pageBreakBefore w:val="0"/>
        <w:kinsoku/>
        <w:wordWrap/>
        <w:overflowPunct/>
        <w:topLinePunct w:val="0"/>
        <w:autoSpaceDE/>
        <w:autoSpaceDN/>
        <w:bidi w:val="0"/>
        <w:adjustRightInd/>
        <w:snapToGrid/>
        <w:spacing w:line="590" w:lineRule="exact"/>
        <w:ind w:firstLine="643" w:firstLineChars="200"/>
        <w:textAlignment w:val="auto"/>
        <w:rPr>
          <w:rFonts w:hint="eastAsia" w:ascii="仿宋_GB2312" w:hAnsi="宋体" w:eastAsia="仿宋_GB2312" w:cs="宋体"/>
          <w:b/>
          <w:kern w:val="0"/>
          <w:sz w:val="32"/>
          <w:szCs w:val="32"/>
        </w:rPr>
      </w:pPr>
      <w:r>
        <w:rPr>
          <w:rFonts w:hint="eastAsia" w:ascii="仿宋_GB2312" w:hAnsi="宋体" w:eastAsia="仿宋_GB2312" w:cs="宋体"/>
          <w:b/>
          <w:kern w:val="0"/>
          <w:sz w:val="32"/>
          <w:szCs w:val="32"/>
        </w:rPr>
        <w:t>2.</w:t>
      </w:r>
      <w:r>
        <w:rPr>
          <w:rFonts w:ascii="仿宋_GB2312" w:hAnsi="宋体" w:eastAsia="仿宋_GB2312" w:cs="宋体"/>
          <w:b/>
          <w:kern w:val="0"/>
          <w:sz w:val="32"/>
          <w:szCs w:val="32"/>
        </w:rPr>
        <w:t>规范性文件</w:t>
      </w:r>
    </w:p>
    <w:p w14:paraId="0F065D9C">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w:t>
      </w:r>
      <w:r>
        <w:rPr>
          <w:rFonts w:ascii="仿宋_GB2312" w:hAnsi="宋体" w:eastAsia="仿宋_GB2312" w:cs="宋体"/>
          <w:kern w:val="0"/>
          <w:sz w:val="32"/>
          <w:szCs w:val="32"/>
        </w:rPr>
        <w:t>本年制</w:t>
      </w:r>
      <w:r>
        <w:rPr>
          <w:rFonts w:hint="eastAsia" w:ascii="仿宋_GB2312" w:hAnsi="宋体" w:eastAsia="仿宋_GB2312" w:cs="宋体"/>
          <w:kern w:val="0"/>
          <w:sz w:val="32"/>
          <w:szCs w:val="32"/>
          <w:lang w:eastAsia="zh-CN"/>
        </w:rPr>
        <w:t>发</w:t>
      </w:r>
      <w:r>
        <w:rPr>
          <w:rFonts w:ascii="仿宋_GB2312" w:hAnsi="宋体" w:eastAsia="仿宋_GB2312" w:cs="宋体"/>
          <w:kern w:val="0"/>
          <w:sz w:val="32"/>
          <w:szCs w:val="32"/>
        </w:rPr>
        <w:t>数量</w:t>
      </w:r>
      <w:r>
        <w:rPr>
          <w:rFonts w:hint="eastAsia" w:ascii="仿宋_GB2312" w:hAnsi="宋体" w:eastAsia="仿宋_GB2312" w:cs="宋体"/>
          <w:kern w:val="0"/>
          <w:sz w:val="32"/>
          <w:szCs w:val="32"/>
        </w:rPr>
        <w:t>”，</w:t>
      </w:r>
      <w:r>
        <w:rPr>
          <w:rFonts w:ascii="仿宋_GB2312" w:hAnsi="宋体" w:eastAsia="仿宋_GB2312" w:cs="宋体"/>
          <w:kern w:val="0"/>
          <w:sz w:val="32"/>
          <w:szCs w:val="32"/>
        </w:rPr>
        <w:t>填报本年度</w:t>
      </w:r>
      <w:r>
        <w:rPr>
          <w:rFonts w:hint="eastAsia" w:ascii="仿宋_GB2312" w:hAnsi="宋体" w:eastAsia="仿宋_GB2312" w:cs="宋体"/>
          <w:kern w:val="0"/>
          <w:sz w:val="32"/>
          <w:szCs w:val="32"/>
        </w:rPr>
        <w:t>（</w:t>
      </w:r>
      <w:r>
        <w:rPr>
          <w:rFonts w:ascii="仿宋_GB2312" w:hAnsi="宋体" w:eastAsia="仿宋_GB2312" w:cs="宋体"/>
          <w:kern w:val="0"/>
          <w:sz w:val="32"/>
          <w:szCs w:val="32"/>
        </w:rPr>
        <w:t>注：以文件印发日期为计算截止时点</w:t>
      </w:r>
      <w:r>
        <w:rPr>
          <w:rFonts w:hint="eastAsia" w:ascii="仿宋_GB2312" w:hAnsi="宋体" w:eastAsia="仿宋_GB2312" w:cs="宋体"/>
          <w:kern w:val="0"/>
          <w:sz w:val="32"/>
          <w:szCs w:val="32"/>
        </w:rPr>
        <w:t>）</w:t>
      </w:r>
      <w:r>
        <w:rPr>
          <w:rFonts w:ascii="仿宋_GB2312" w:hAnsi="宋体" w:eastAsia="仿宋_GB2312" w:cs="宋体"/>
          <w:kern w:val="0"/>
          <w:sz w:val="32"/>
          <w:szCs w:val="32"/>
        </w:rPr>
        <w:t>以本机关名义</w:t>
      </w:r>
      <w:r>
        <w:rPr>
          <w:rFonts w:hint="eastAsia" w:ascii="楷体" w:hAnsi="楷体" w:eastAsia="楷体" w:cs="宋体"/>
          <w:kern w:val="0"/>
          <w:sz w:val="32"/>
          <w:szCs w:val="32"/>
        </w:rPr>
        <w:t>（</w:t>
      </w:r>
      <w:r>
        <w:rPr>
          <w:rFonts w:ascii="楷体" w:hAnsi="楷体" w:eastAsia="楷体"/>
          <w:color w:val="000000"/>
          <w:sz w:val="32"/>
          <w:szCs w:val="32"/>
        </w:rPr>
        <w:t>注：代政府起草的规范性文件，不计入起草部门的统计数量，下同</w:t>
      </w:r>
      <w:r>
        <w:rPr>
          <w:rFonts w:hint="eastAsia" w:ascii="楷体" w:hAnsi="楷体" w:eastAsia="楷体" w:cs="宋体"/>
          <w:kern w:val="0"/>
          <w:sz w:val="32"/>
          <w:szCs w:val="32"/>
        </w:rPr>
        <w:t>）</w:t>
      </w:r>
      <w:r>
        <w:rPr>
          <w:rFonts w:ascii="仿宋_GB2312" w:hAnsi="宋体" w:eastAsia="仿宋_GB2312" w:cs="宋体"/>
          <w:kern w:val="0"/>
          <w:sz w:val="32"/>
          <w:szCs w:val="32"/>
        </w:rPr>
        <w:t>制作的行政规范性文件</w:t>
      </w:r>
      <w:r>
        <w:rPr>
          <w:rFonts w:hint="eastAsia" w:ascii="楷体" w:hAnsi="楷体" w:eastAsia="楷体"/>
          <w:color w:val="000000"/>
          <w:sz w:val="32"/>
          <w:szCs w:val="32"/>
        </w:rPr>
        <w:t>（</w:t>
      </w:r>
      <w:r>
        <w:rPr>
          <w:rFonts w:ascii="楷体" w:hAnsi="楷体" w:eastAsia="楷体"/>
          <w:color w:val="000000"/>
          <w:sz w:val="32"/>
          <w:szCs w:val="32"/>
        </w:rPr>
        <w:t>注：</w:t>
      </w:r>
      <w:r>
        <w:rPr>
          <w:rFonts w:hint="eastAsia" w:ascii="楷体" w:hAnsi="楷体" w:eastAsia="楷体"/>
          <w:color w:val="000000"/>
          <w:sz w:val="32"/>
          <w:szCs w:val="32"/>
        </w:rPr>
        <w:t>国办发〔2018〕37号规定，</w:t>
      </w:r>
      <w:r>
        <w:rPr>
          <w:rFonts w:ascii="楷体" w:hAnsi="楷体" w:eastAsia="楷体"/>
          <w:color w:val="000000"/>
          <w:sz w:val="32"/>
          <w:szCs w:val="32"/>
        </w:rPr>
        <w:t>规范性文件是指除政府规章外，由行政机关或者经法律、法规授权的具有管理公共事务职能的组织，依照法定权限、程序制定并公开发布，涉及公民、法人和其他组织权利义务，具有普遍约束力，在一定期限内反复适用的公文。此处不统计其他类型的公文</w:t>
      </w:r>
      <w:r>
        <w:rPr>
          <w:rFonts w:hint="eastAsia" w:ascii="仿宋_GB2312" w:hAnsi="宋体" w:eastAsia="仿宋_GB2312" w:cs="宋体"/>
          <w:kern w:val="0"/>
          <w:sz w:val="32"/>
          <w:szCs w:val="32"/>
        </w:rPr>
        <w:t>）</w:t>
      </w:r>
      <w:r>
        <w:rPr>
          <w:rFonts w:ascii="仿宋_GB2312" w:hAnsi="宋体" w:eastAsia="仿宋_GB2312" w:cs="宋体"/>
          <w:kern w:val="0"/>
          <w:sz w:val="32"/>
          <w:szCs w:val="32"/>
        </w:rPr>
        <w:t>的数量，</w:t>
      </w:r>
      <w:r>
        <w:rPr>
          <w:rFonts w:ascii="仿宋_GB2312" w:hAnsi="宋体" w:eastAsia="仿宋_GB2312" w:cs="宋体"/>
          <w:b/>
          <w:bCs/>
          <w:kern w:val="0"/>
          <w:sz w:val="32"/>
          <w:szCs w:val="32"/>
        </w:rPr>
        <w:t>没有的填“0”，不得空白或者填入其他内容</w:t>
      </w:r>
      <w:r>
        <w:rPr>
          <w:rFonts w:ascii="仿宋_GB2312" w:hAnsi="宋体" w:eastAsia="仿宋_GB2312" w:cs="宋体"/>
          <w:kern w:val="0"/>
          <w:sz w:val="32"/>
          <w:szCs w:val="32"/>
        </w:rPr>
        <w:t>。</w:t>
      </w:r>
      <w:r>
        <w:rPr>
          <w:rFonts w:hint="eastAsia" w:ascii="仿宋_GB2312" w:hAnsi="宋体" w:eastAsia="仿宋_GB2312" w:cs="宋体"/>
          <w:kern w:val="0"/>
          <w:sz w:val="32"/>
          <w:szCs w:val="32"/>
          <w:lang w:eastAsia="zh-CN"/>
        </w:rPr>
        <w:t>各项数据核定时间点为</w:t>
      </w:r>
      <w:r>
        <w:rPr>
          <w:rFonts w:hint="eastAsia" w:ascii="仿宋_GB2312" w:hAnsi="宋体" w:eastAsia="仿宋_GB2312" w:cs="宋体"/>
          <w:kern w:val="0"/>
          <w:sz w:val="32"/>
          <w:szCs w:val="32"/>
          <w:lang w:val="en-US" w:eastAsia="zh-CN"/>
        </w:rPr>
        <w:t>12月31日。</w:t>
      </w:r>
    </w:p>
    <w:p w14:paraId="12DE637A">
      <w:pPr>
        <w:keepNext w:val="0"/>
        <w:keepLines w:val="0"/>
        <w:pageBreakBefore w:val="0"/>
        <w:kinsoku/>
        <w:wordWrap/>
        <w:overflowPunct/>
        <w:topLinePunct w:val="0"/>
        <w:autoSpaceDE/>
        <w:autoSpaceDN/>
        <w:bidi w:val="0"/>
        <w:adjustRightInd/>
        <w:snapToGrid/>
        <w:spacing w:line="590" w:lineRule="exact"/>
        <w:ind w:firstLine="643" w:firstLineChars="200"/>
        <w:textAlignment w:val="auto"/>
        <w:rPr>
          <w:rFonts w:hint="eastAsia" w:ascii="仿宋_GB2312" w:hAnsi="宋体" w:eastAsia="仿宋_GB2312" w:cs="宋体"/>
          <w:b/>
          <w:kern w:val="0"/>
          <w:sz w:val="32"/>
          <w:szCs w:val="32"/>
        </w:rPr>
      </w:pPr>
      <w:r>
        <w:rPr>
          <w:rFonts w:hint="eastAsia" w:ascii="仿宋_GB2312" w:hAnsi="宋体" w:eastAsia="仿宋_GB2312" w:cs="宋体"/>
          <w:b/>
          <w:kern w:val="0"/>
          <w:sz w:val="32"/>
          <w:szCs w:val="32"/>
        </w:rPr>
        <w:t>3.</w:t>
      </w:r>
      <w:r>
        <w:rPr>
          <w:rFonts w:ascii="仿宋_GB2312" w:hAnsi="宋体" w:eastAsia="仿宋_GB2312" w:cs="宋体"/>
          <w:b/>
          <w:kern w:val="0"/>
          <w:sz w:val="32"/>
          <w:szCs w:val="32"/>
        </w:rPr>
        <w:t>行政许可</w:t>
      </w:r>
    </w:p>
    <w:p w14:paraId="523FD89E">
      <w:pPr>
        <w:keepNext w:val="0"/>
        <w:keepLines w:val="0"/>
        <w:pageBreakBefore w:val="0"/>
        <w:kinsoku/>
        <w:wordWrap/>
        <w:overflowPunct/>
        <w:topLinePunct w:val="0"/>
        <w:autoSpaceDE/>
        <w:autoSpaceDN/>
        <w:bidi w:val="0"/>
        <w:adjustRightInd/>
        <w:snapToGrid/>
        <w:spacing w:line="590" w:lineRule="exact"/>
        <w:ind w:firstLine="643" w:firstLineChars="200"/>
        <w:textAlignment w:val="auto"/>
        <w:rPr>
          <w:rFonts w:hint="eastAsia" w:ascii="仿宋_GB2312" w:hAnsi="宋体" w:eastAsia="仿宋_GB2312" w:cs="宋体"/>
          <w:kern w:val="0"/>
          <w:sz w:val="32"/>
          <w:szCs w:val="32"/>
        </w:rPr>
      </w:pPr>
      <w:r>
        <w:rPr>
          <w:rFonts w:ascii="仿宋_GB2312" w:hAnsi="宋体" w:eastAsia="仿宋_GB2312" w:cs="宋体"/>
          <w:b/>
          <w:kern w:val="0"/>
          <w:sz w:val="32"/>
          <w:szCs w:val="32"/>
        </w:rPr>
        <w:t>“</w:t>
      </w:r>
      <w:r>
        <w:rPr>
          <w:rFonts w:hint="eastAsia" w:ascii="仿宋_GB2312" w:hAnsi="宋体" w:eastAsia="仿宋_GB2312" w:cs="宋体"/>
          <w:b/>
          <w:kern w:val="0"/>
          <w:sz w:val="32"/>
          <w:szCs w:val="32"/>
          <w:lang w:eastAsia="zh-CN"/>
        </w:rPr>
        <w:t>本年</w:t>
      </w:r>
      <w:r>
        <w:rPr>
          <w:rFonts w:ascii="仿宋_GB2312" w:hAnsi="宋体" w:eastAsia="仿宋_GB2312" w:cs="宋体"/>
          <w:b/>
          <w:kern w:val="0"/>
          <w:sz w:val="32"/>
          <w:szCs w:val="32"/>
        </w:rPr>
        <w:t>处理决定数量”，</w:t>
      </w:r>
      <w:r>
        <w:rPr>
          <w:rFonts w:ascii="仿宋_GB2312" w:hAnsi="宋体" w:eastAsia="仿宋_GB2312" w:cs="宋体"/>
          <w:kern w:val="0"/>
          <w:sz w:val="32"/>
          <w:szCs w:val="32"/>
        </w:rPr>
        <w:t>填报本年度本机关作出的行政许可决定数量，</w:t>
      </w:r>
      <w:r>
        <w:rPr>
          <w:rFonts w:ascii="仿宋_GB2312" w:hAnsi="宋体" w:eastAsia="仿宋_GB2312" w:cs="宋体"/>
          <w:b/>
          <w:bCs/>
          <w:kern w:val="0"/>
          <w:sz w:val="32"/>
          <w:szCs w:val="32"/>
        </w:rPr>
        <w:t>没有的填“0”，不得空白或者填入其他内容</w:t>
      </w:r>
      <w:r>
        <w:rPr>
          <w:rFonts w:hint="eastAsia" w:ascii="楷体" w:hAnsi="楷体" w:eastAsia="楷体" w:cs="宋体"/>
          <w:kern w:val="0"/>
          <w:sz w:val="32"/>
          <w:szCs w:val="32"/>
        </w:rPr>
        <w:t>（</w:t>
      </w:r>
      <w:r>
        <w:rPr>
          <w:rFonts w:ascii="楷体" w:hAnsi="楷体" w:eastAsia="楷体" w:cs="宋体"/>
          <w:kern w:val="0"/>
          <w:sz w:val="32"/>
          <w:szCs w:val="32"/>
        </w:rPr>
        <w:t>注：（1）</w:t>
      </w:r>
      <w:r>
        <w:rPr>
          <w:rFonts w:hint="eastAsia" w:ascii="楷体" w:hAnsi="楷体" w:eastAsia="楷体"/>
          <w:color w:val="000000"/>
          <w:sz w:val="32"/>
          <w:szCs w:val="32"/>
          <w:lang w:eastAsia="zh-CN"/>
        </w:rPr>
        <w:t>包括已公开和依法未公开的全部处理决定。（</w:t>
      </w:r>
      <w:r>
        <w:rPr>
          <w:rFonts w:hint="eastAsia" w:ascii="楷体" w:hAnsi="楷体" w:eastAsia="楷体"/>
          <w:color w:val="000000"/>
          <w:sz w:val="32"/>
          <w:szCs w:val="32"/>
          <w:lang w:val="en-US" w:eastAsia="zh-CN"/>
        </w:rPr>
        <w:t>2</w:t>
      </w:r>
      <w:r>
        <w:rPr>
          <w:rFonts w:hint="eastAsia" w:ascii="楷体" w:hAnsi="楷体" w:eastAsia="楷体"/>
          <w:color w:val="000000"/>
          <w:sz w:val="32"/>
          <w:szCs w:val="32"/>
          <w:lang w:eastAsia="zh-CN"/>
        </w:rPr>
        <w:t>）各项数据核定时间点为</w:t>
      </w:r>
      <w:r>
        <w:rPr>
          <w:rFonts w:hint="eastAsia" w:ascii="楷体" w:hAnsi="楷体" w:eastAsia="楷体"/>
          <w:color w:val="000000"/>
          <w:sz w:val="32"/>
          <w:szCs w:val="32"/>
          <w:lang w:val="en-US" w:eastAsia="zh-CN"/>
        </w:rPr>
        <w:t>12月31日</w:t>
      </w:r>
      <w:r>
        <w:rPr>
          <w:rFonts w:hint="eastAsia" w:ascii="楷体" w:hAnsi="楷体" w:eastAsia="楷体" w:cs="宋体"/>
          <w:kern w:val="0"/>
          <w:sz w:val="32"/>
          <w:szCs w:val="32"/>
        </w:rPr>
        <w:t>）</w:t>
      </w:r>
      <w:r>
        <w:rPr>
          <w:rFonts w:ascii="FZFSK--GBK1-0" w:hAnsi="FZFSK--GBK1-0"/>
          <w:color w:val="000000"/>
          <w:sz w:val="32"/>
          <w:szCs w:val="32"/>
        </w:rPr>
        <w:t>。</w:t>
      </w:r>
    </w:p>
    <w:p w14:paraId="6A9BEA2A">
      <w:pPr>
        <w:keepNext w:val="0"/>
        <w:keepLines w:val="0"/>
        <w:pageBreakBefore w:val="0"/>
        <w:kinsoku/>
        <w:wordWrap/>
        <w:overflowPunct/>
        <w:topLinePunct w:val="0"/>
        <w:autoSpaceDE/>
        <w:autoSpaceDN/>
        <w:bidi w:val="0"/>
        <w:adjustRightInd/>
        <w:snapToGrid/>
        <w:spacing w:line="590" w:lineRule="exact"/>
        <w:ind w:firstLine="643" w:firstLineChars="200"/>
        <w:textAlignment w:val="auto"/>
        <w:rPr>
          <w:rFonts w:hint="eastAsia" w:ascii="仿宋_GB2312" w:hAnsi="宋体" w:eastAsia="仿宋_GB2312" w:cs="宋体"/>
          <w:b/>
          <w:kern w:val="0"/>
          <w:sz w:val="32"/>
          <w:szCs w:val="32"/>
        </w:rPr>
      </w:pPr>
      <w:r>
        <w:rPr>
          <w:rFonts w:hint="eastAsia" w:ascii="仿宋_GB2312" w:hAnsi="宋体" w:eastAsia="仿宋_GB2312" w:cs="宋体"/>
          <w:b/>
          <w:kern w:val="0"/>
          <w:sz w:val="32"/>
          <w:szCs w:val="32"/>
          <w:lang w:val="en-US" w:eastAsia="zh-CN"/>
        </w:rPr>
        <w:t>4</w:t>
      </w:r>
      <w:r>
        <w:rPr>
          <w:rFonts w:hint="eastAsia" w:ascii="仿宋_GB2312" w:hAnsi="宋体" w:eastAsia="仿宋_GB2312" w:cs="宋体"/>
          <w:b/>
          <w:kern w:val="0"/>
          <w:sz w:val="32"/>
          <w:szCs w:val="32"/>
        </w:rPr>
        <w:t>.</w:t>
      </w:r>
      <w:r>
        <w:rPr>
          <w:rFonts w:ascii="仿宋_GB2312" w:hAnsi="宋体" w:eastAsia="仿宋_GB2312" w:cs="宋体"/>
          <w:b/>
          <w:kern w:val="0"/>
          <w:sz w:val="32"/>
          <w:szCs w:val="32"/>
        </w:rPr>
        <w:t>行政处罚</w:t>
      </w:r>
    </w:p>
    <w:p w14:paraId="7F0AA705">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仿宋_GB2312" w:hAnsi="宋体" w:eastAsia="仿宋_GB2312" w:cs="宋体"/>
          <w:b/>
          <w:kern w:val="0"/>
          <w:sz w:val="32"/>
          <w:szCs w:val="32"/>
        </w:rPr>
      </w:pPr>
      <w:r>
        <w:rPr>
          <w:rFonts w:ascii="仿宋_GB2312" w:hAnsi="宋体" w:eastAsia="仿宋_GB2312" w:cs="宋体"/>
          <w:kern w:val="0"/>
          <w:sz w:val="32"/>
          <w:szCs w:val="32"/>
        </w:rPr>
        <w:t>同“行政许可”。</w:t>
      </w:r>
    </w:p>
    <w:p w14:paraId="7FC17EA2">
      <w:pPr>
        <w:keepNext w:val="0"/>
        <w:keepLines w:val="0"/>
        <w:pageBreakBefore w:val="0"/>
        <w:kinsoku/>
        <w:wordWrap/>
        <w:overflowPunct/>
        <w:topLinePunct w:val="0"/>
        <w:autoSpaceDE/>
        <w:autoSpaceDN/>
        <w:bidi w:val="0"/>
        <w:adjustRightInd/>
        <w:snapToGrid/>
        <w:spacing w:line="590" w:lineRule="exact"/>
        <w:ind w:firstLine="643" w:firstLineChars="200"/>
        <w:textAlignment w:val="auto"/>
        <w:rPr>
          <w:rFonts w:hint="eastAsia" w:ascii="仿宋_GB2312" w:hAnsi="宋体" w:eastAsia="仿宋_GB2312" w:cs="宋体"/>
          <w:b/>
          <w:kern w:val="0"/>
          <w:sz w:val="32"/>
          <w:szCs w:val="32"/>
        </w:rPr>
      </w:pPr>
      <w:r>
        <w:rPr>
          <w:rFonts w:ascii="仿宋_GB2312" w:hAnsi="宋体" w:eastAsia="仿宋_GB2312" w:cs="宋体"/>
          <w:b/>
          <w:kern w:val="0"/>
          <w:sz w:val="32"/>
          <w:szCs w:val="32"/>
        </w:rPr>
        <w:t>6</w:t>
      </w:r>
      <w:r>
        <w:rPr>
          <w:rFonts w:hint="eastAsia" w:ascii="仿宋_GB2312" w:hAnsi="宋体" w:eastAsia="仿宋_GB2312" w:cs="宋体"/>
          <w:b/>
          <w:kern w:val="0"/>
          <w:sz w:val="32"/>
          <w:szCs w:val="32"/>
        </w:rPr>
        <w:t>.</w:t>
      </w:r>
      <w:r>
        <w:rPr>
          <w:rFonts w:ascii="仿宋_GB2312" w:hAnsi="宋体" w:eastAsia="仿宋_GB2312" w:cs="宋体"/>
          <w:b/>
          <w:kern w:val="0"/>
          <w:sz w:val="32"/>
          <w:szCs w:val="32"/>
        </w:rPr>
        <w:t>行政强制</w:t>
      </w:r>
    </w:p>
    <w:p w14:paraId="04DEFDD1">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仿宋_GB2312" w:hAnsi="宋体" w:eastAsia="仿宋_GB2312" w:cs="宋体"/>
          <w:kern w:val="0"/>
          <w:sz w:val="32"/>
          <w:szCs w:val="32"/>
        </w:rPr>
      </w:pPr>
      <w:r>
        <w:rPr>
          <w:rFonts w:ascii="仿宋_GB2312" w:hAnsi="宋体" w:eastAsia="仿宋_GB2312" w:cs="宋体"/>
          <w:kern w:val="0"/>
          <w:sz w:val="32"/>
          <w:szCs w:val="32"/>
        </w:rPr>
        <w:t>同“行政许可”。</w:t>
      </w:r>
    </w:p>
    <w:p w14:paraId="452B7DCF">
      <w:pPr>
        <w:keepNext w:val="0"/>
        <w:keepLines w:val="0"/>
        <w:pageBreakBefore w:val="0"/>
        <w:kinsoku/>
        <w:wordWrap/>
        <w:overflowPunct/>
        <w:topLinePunct w:val="0"/>
        <w:autoSpaceDE/>
        <w:autoSpaceDN/>
        <w:bidi w:val="0"/>
        <w:adjustRightInd/>
        <w:snapToGrid/>
        <w:spacing w:line="590" w:lineRule="exact"/>
        <w:ind w:firstLine="639" w:firstLineChars="199"/>
        <w:textAlignment w:val="auto"/>
        <w:rPr>
          <w:rFonts w:hint="eastAsia" w:ascii="FZFSK--GBK1-0" w:hAnsi="FZFSK--GBK1-0"/>
          <w:color w:val="000000"/>
          <w:sz w:val="32"/>
          <w:szCs w:val="32"/>
        </w:rPr>
      </w:pPr>
      <w:r>
        <w:rPr>
          <w:rFonts w:hint="eastAsia" w:ascii="楷体" w:hAnsi="楷体" w:eastAsia="楷体" w:cs="宋体"/>
          <w:b/>
          <w:kern w:val="0"/>
          <w:sz w:val="32"/>
          <w:szCs w:val="32"/>
        </w:rPr>
        <w:t>（二）</w:t>
      </w:r>
      <w:r>
        <w:rPr>
          <w:rFonts w:ascii="楷体" w:hAnsi="楷体" w:eastAsia="楷体" w:cs="宋体"/>
          <w:b/>
          <w:kern w:val="0"/>
          <w:sz w:val="32"/>
          <w:szCs w:val="32"/>
        </w:rPr>
        <w:t>注意事项</w:t>
      </w:r>
    </w:p>
    <w:p w14:paraId="0B200B19">
      <w:pPr>
        <w:keepNext w:val="0"/>
        <w:keepLines w:val="0"/>
        <w:pageBreakBefore w:val="0"/>
        <w:kinsoku/>
        <w:wordWrap/>
        <w:overflowPunct/>
        <w:topLinePunct w:val="0"/>
        <w:autoSpaceDE/>
        <w:autoSpaceDN/>
        <w:bidi w:val="0"/>
        <w:adjustRightInd/>
        <w:snapToGrid/>
        <w:spacing w:line="590" w:lineRule="exact"/>
        <w:ind w:firstLine="636" w:firstLineChars="199"/>
        <w:textAlignment w:val="auto"/>
        <w:rPr>
          <w:rFonts w:hint="eastAsia" w:ascii="仿宋_GB2312" w:hAnsi="宋体" w:eastAsia="仿宋_GB2312" w:cs="宋体"/>
          <w:kern w:val="0"/>
          <w:sz w:val="32"/>
          <w:szCs w:val="32"/>
        </w:rPr>
      </w:pPr>
      <w:r>
        <w:rPr>
          <w:rFonts w:ascii="仿宋_GB2312" w:hAnsi="宋体" w:eastAsia="仿宋_GB2312" w:cs="宋体"/>
          <w:kern w:val="0"/>
          <w:sz w:val="32"/>
          <w:szCs w:val="32"/>
        </w:rPr>
        <w:t>“行政许可”“行政处罚”“行政强制”</w:t>
      </w:r>
      <w:r>
        <w:rPr>
          <w:rFonts w:hint="eastAsia" w:ascii="仿宋_GB2312" w:hAnsi="宋体" w:eastAsia="仿宋_GB2312" w:cs="宋体"/>
          <w:kern w:val="0"/>
          <w:sz w:val="32"/>
          <w:szCs w:val="32"/>
          <w:lang w:eastAsia="zh-CN"/>
        </w:rPr>
        <w:t>的“本年处理决定数量”</w:t>
      </w:r>
      <w:r>
        <w:rPr>
          <w:rFonts w:ascii="仿宋_GB2312" w:hAnsi="宋体" w:eastAsia="仿宋_GB2312" w:cs="宋体"/>
          <w:kern w:val="0"/>
          <w:sz w:val="32"/>
          <w:szCs w:val="32"/>
        </w:rPr>
        <w:t>，应根据行政权力清单</w:t>
      </w:r>
      <w:r>
        <w:rPr>
          <w:rFonts w:hint="eastAsia" w:ascii="仿宋_GB2312" w:hAnsi="宋体" w:eastAsia="仿宋_GB2312" w:cs="宋体"/>
          <w:kern w:val="0"/>
          <w:sz w:val="32"/>
          <w:szCs w:val="32"/>
        </w:rPr>
        <w:t>、</w:t>
      </w:r>
      <w:r>
        <w:rPr>
          <w:rFonts w:ascii="仿宋_GB2312" w:hAnsi="宋体" w:eastAsia="仿宋_GB2312" w:cs="宋体"/>
          <w:kern w:val="0"/>
          <w:sz w:val="32"/>
          <w:szCs w:val="32"/>
        </w:rPr>
        <w:t>公共服务事项清单据实填报；“行政事业性收费”的“</w:t>
      </w:r>
      <w:r>
        <w:rPr>
          <w:rFonts w:hint="eastAsia" w:ascii="仿宋_GB2312" w:hAnsi="宋体" w:eastAsia="仿宋_GB2312" w:cs="宋体"/>
          <w:kern w:val="0"/>
          <w:sz w:val="32"/>
          <w:szCs w:val="32"/>
          <w:lang w:eastAsia="zh-CN"/>
        </w:rPr>
        <w:t>本年收费金额</w:t>
      </w:r>
      <w:r>
        <w:rPr>
          <w:rFonts w:ascii="仿宋_GB2312" w:hAnsi="宋体" w:eastAsia="仿宋_GB2312" w:cs="宋体"/>
          <w:kern w:val="0"/>
          <w:sz w:val="32"/>
          <w:szCs w:val="32"/>
        </w:rPr>
        <w:t>”，应根据</w:t>
      </w:r>
      <w:r>
        <w:rPr>
          <w:rFonts w:hint="eastAsia" w:ascii="仿宋_GB2312" w:hAnsi="宋体" w:eastAsia="仿宋_GB2312" w:cs="宋体"/>
          <w:kern w:val="0"/>
          <w:sz w:val="32"/>
          <w:szCs w:val="32"/>
        </w:rPr>
        <w:t>财政部门</w:t>
      </w:r>
      <w:r>
        <w:rPr>
          <w:rFonts w:ascii="仿宋_GB2312" w:hAnsi="宋体" w:eastAsia="仿宋_GB2312" w:cs="宋体"/>
          <w:kern w:val="0"/>
          <w:sz w:val="32"/>
          <w:szCs w:val="32"/>
        </w:rPr>
        <w:t>发布的行政事业性收费项目清单据实填报。</w:t>
      </w:r>
    </w:p>
    <w:p w14:paraId="1BCA9C1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黑体" w:hAnsi="黑体" w:eastAsia="黑体" w:cs="宋体"/>
          <w:sz w:val="32"/>
          <w:szCs w:val="30"/>
        </w:rPr>
      </w:pPr>
      <w:r>
        <w:rPr>
          <w:rFonts w:hint="eastAsia" w:ascii="黑体" w:hAnsi="黑体" w:eastAsia="黑体" w:cs="宋体"/>
          <w:sz w:val="32"/>
          <w:szCs w:val="30"/>
        </w:rPr>
        <w:t>三、收到和处理政府信息公开申请情况</w:t>
      </w:r>
    </w:p>
    <w:p w14:paraId="50656AC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rPr>
        <w:t>该部分以表格形式报告。表格如下：</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70"/>
        <w:gridCol w:w="949"/>
        <w:gridCol w:w="3739"/>
        <w:gridCol w:w="404"/>
        <w:gridCol w:w="600"/>
        <w:gridCol w:w="634"/>
        <w:gridCol w:w="773"/>
        <w:gridCol w:w="693"/>
        <w:gridCol w:w="497"/>
        <w:gridCol w:w="689"/>
      </w:tblGrid>
      <w:tr w14:paraId="5EB2AD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458"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409C6F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kern w:val="0"/>
                <w:sz w:val="24"/>
                <w:szCs w:val="24"/>
                <w:lang w:val="en-US" w:eastAsia="zh-CN" w:bidi="ar"/>
              </w:rPr>
              <w:t>（本列数据的勾稽关系为：第一项加第二项之和，等于第三项加第四项之和）</w:t>
            </w:r>
          </w:p>
        </w:tc>
        <w:tc>
          <w:tcPr>
            <w:tcW w:w="4290"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3B3A7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申请人情况</w:t>
            </w:r>
          </w:p>
        </w:tc>
      </w:tr>
      <w:tr w14:paraId="0B7BDE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58"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37743D7">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404"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1811C4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自然人</w:t>
            </w:r>
          </w:p>
        </w:tc>
        <w:tc>
          <w:tcPr>
            <w:tcW w:w="3197"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E25C2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154061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总计</w:t>
            </w:r>
          </w:p>
        </w:tc>
      </w:tr>
      <w:tr w14:paraId="6CB4C7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58"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18DCB99">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404"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5DED0A7E">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0EFC67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商业</w:t>
            </w:r>
          </w:p>
          <w:p w14:paraId="336EFD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企业</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08BAFD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科研</w:t>
            </w:r>
          </w:p>
          <w:p w14:paraId="56181E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机构</w:t>
            </w:r>
          </w:p>
        </w:tc>
        <w:tc>
          <w:tcPr>
            <w:tcW w:w="773"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F8D5A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社会公益组织</w:t>
            </w:r>
          </w:p>
        </w:tc>
        <w:tc>
          <w:tcPr>
            <w:tcW w:w="693"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C22E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法律服务机构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BCD72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15A07389">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r>
      <w:tr w14:paraId="3410D4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58"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6A4B5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一、本年新收政府信息公开申请数量</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2A21F8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1419C2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6B8C9C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209192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79ABAA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369C1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6F6F6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4FC396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58"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636D7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二、上年结转政府信息公开申请数量</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2C6E8D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3E7301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56342A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5927E1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59B30D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CD780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8E2F2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189E20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2FDB9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三、本年度办理结果</w:t>
            </w:r>
          </w:p>
        </w:tc>
        <w:tc>
          <w:tcPr>
            <w:tcW w:w="4688"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17C4F5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（一）予以公开</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61861F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0F124D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718D34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378881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07C650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EEFC8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46D80C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3DFD1A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4198342">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4688"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13E0F5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（二）部分公开</w:t>
            </w:r>
            <w:r>
              <w:rPr>
                <w:rFonts w:hint="eastAsia" w:ascii="仿宋_GB2312" w:hAnsi="仿宋_GB2312" w:eastAsia="仿宋_GB2312" w:cs="仿宋_GB2312"/>
                <w:b/>
                <w:bCs/>
                <w:kern w:val="0"/>
                <w:sz w:val="24"/>
                <w:szCs w:val="24"/>
                <w:lang w:val="en-US" w:eastAsia="zh-CN" w:bidi="ar"/>
              </w:rPr>
              <w:t>（区分处理的，只计这一情形，不计其他情形）</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0B8370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2CF672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07BB6F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7EF848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07F51A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434B5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FA294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2FC713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CD417C1">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CB595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（三）不予公开</w:t>
            </w: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06EA22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1.属于国家秘密</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3CDD09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6A26B8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7DFCAB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00C726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086A13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2D0FD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42F6F5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450B18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588A997">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DC75342">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4D1D50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2.其他法律行政法规禁止公开</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7E1F57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213029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569376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3B1887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5D2E5B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9D8FE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88D08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2CA253D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3AA492A">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CC8A673">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53FE75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3.危及“三安全一稳定”</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3E5902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2E0ED4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46E7BF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3A4C06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6C1C37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63F2B1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08DBF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551153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4F438DC">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AB59EBF">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75FD24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4.保护第三方合法权益</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1198BE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1D5069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06ABA3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78E756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727DE9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3806C6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4CF32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2C80CB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ECF1D1E">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A80A437">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06B4DC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5.属于三类内部事务信息</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6309A7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65485D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2998F0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33505E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2A6B42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AB4CE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5455F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145078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6082273">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6279C1F">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52DF2C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6.属于四类过程性信息</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7639B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12176B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5177FE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3988F0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5910AC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4DB27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10063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66C353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F675230">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2879127">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2D5D54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7.属于行政执法案卷</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2529EA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1716C0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33B4B8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2597BF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18A791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CDF6F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54576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2AA2572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30B1ACB">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850BD64">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58CF55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8.属于行政查询事项</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5411BF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2C43E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708AF3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24D3B0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7166CE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B80A5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830B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32A13F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74A886F">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453400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（四）无法提供</w:t>
            </w: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16841A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1.本机关不掌握相关政府信息</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501834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5E702C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0E4D2F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5B264F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2441E3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11D47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32982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62908A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BB679F8">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F397DF8">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3AC510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2.没有现成信息需要另行制作</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18603F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30A44D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2ADD64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4AAA55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1C8851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4DFD1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49E6F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209761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37" w:hRule="atLeast"/>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33B1E97">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B17B385">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255EE5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3.补正后申请内容仍不明确</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74CB1F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2A3EFA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5D1D92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7F948F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0ED14A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3B375B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8C356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570F2F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EDB94F1">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2DF52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（五）不予处理</w:t>
            </w: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498DE5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1.信访举报投诉类申请</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6CF261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2C3651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62C7B0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5C875E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6197FF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2F726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A55E7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7579D5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B052B28">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C4FD2BF">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546F36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2.重复申请</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5928F9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19A17A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408DA0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521130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1DDB9E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2E22E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09ED1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1A08AC3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DE3B1D8">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3BCC220">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507665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3.要求提供公开出版物</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18D18A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643190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6F8931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0CA0F1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71AAA8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A3C23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BAED4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40D229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8" w:hRule="atLeast"/>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EF6F504">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DFC406D">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top"/>
          </w:tcPr>
          <w:p w14:paraId="526148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4.无正当理由大量反复申请</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top"/>
          </w:tcPr>
          <w:p w14:paraId="401699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top"/>
          </w:tcPr>
          <w:p w14:paraId="307FC8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top"/>
          </w:tcPr>
          <w:p w14:paraId="2F1A67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top"/>
          </w:tcPr>
          <w:p w14:paraId="54E123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top"/>
          </w:tcPr>
          <w:p w14:paraId="1D7206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FD965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A2BFB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2D8594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1891AC2">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D5CE0F7">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outset" w:color="auto" w:sz="8" w:space="0"/>
              <w:right w:val="single" w:color="auto" w:sz="8" w:space="0"/>
            </w:tcBorders>
            <w:shd w:val="clear" w:color="auto" w:fill="auto"/>
            <w:tcMar>
              <w:left w:w="57" w:type="dxa"/>
              <w:right w:w="57" w:type="dxa"/>
            </w:tcMar>
            <w:vAlign w:val="center"/>
          </w:tcPr>
          <w:p w14:paraId="072509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5.要求行政机关确认或重新出具已获取信息</w:t>
            </w:r>
          </w:p>
        </w:tc>
        <w:tc>
          <w:tcPr>
            <w:tcW w:w="404" w:type="dxa"/>
            <w:tcBorders>
              <w:top w:val="nil"/>
              <w:left w:val="nil"/>
              <w:bottom w:val="outset" w:color="auto" w:sz="8" w:space="0"/>
              <w:right w:val="single" w:color="auto" w:sz="8" w:space="0"/>
            </w:tcBorders>
            <w:shd w:val="clear" w:color="auto" w:fill="auto"/>
            <w:tcMar>
              <w:left w:w="57" w:type="dxa"/>
              <w:right w:w="57" w:type="dxa"/>
            </w:tcMar>
            <w:vAlign w:val="top"/>
          </w:tcPr>
          <w:p w14:paraId="6691F1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outset" w:color="auto" w:sz="8" w:space="0"/>
              <w:right w:val="single" w:color="auto" w:sz="8" w:space="0"/>
            </w:tcBorders>
            <w:shd w:val="clear" w:color="auto" w:fill="auto"/>
            <w:tcMar>
              <w:left w:w="57" w:type="dxa"/>
              <w:right w:w="57" w:type="dxa"/>
            </w:tcMar>
            <w:vAlign w:val="top"/>
          </w:tcPr>
          <w:p w14:paraId="3E131D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outset" w:color="auto" w:sz="8" w:space="0"/>
              <w:right w:val="single" w:color="auto" w:sz="8" w:space="0"/>
            </w:tcBorders>
            <w:shd w:val="clear" w:color="auto" w:fill="auto"/>
            <w:tcMar>
              <w:left w:w="57" w:type="dxa"/>
              <w:right w:w="57" w:type="dxa"/>
            </w:tcMar>
            <w:vAlign w:val="top"/>
          </w:tcPr>
          <w:p w14:paraId="20CEC8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outset" w:color="auto" w:sz="8" w:space="0"/>
              <w:right w:val="single" w:color="auto" w:sz="8" w:space="0"/>
            </w:tcBorders>
            <w:shd w:val="clear" w:color="auto" w:fill="auto"/>
            <w:tcMar>
              <w:left w:w="57" w:type="dxa"/>
              <w:right w:w="57" w:type="dxa"/>
            </w:tcMar>
            <w:vAlign w:val="top"/>
          </w:tcPr>
          <w:p w14:paraId="5C1425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outset" w:color="auto" w:sz="8" w:space="0"/>
              <w:right w:val="single" w:color="auto" w:sz="8" w:space="0"/>
            </w:tcBorders>
            <w:shd w:val="clear" w:color="auto" w:fill="auto"/>
            <w:tcMar>
              <w:left w:w="57" w:type="dxa"/>
              <w:right w:w="57" w:type="dxa"/>
            </w:tcMar>
            <w:vAlign w:val="top"/>
          </w:tcPr>
          <w:p w14:paraId="4BA56A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outset" w:color="auto" w:sz="8" w:space="0"/>
              <w:right w:val="single" w:color="auto" w:sz="8" w:space="0"/>
            </w:tcBorders>
            <w:shd w:val="clear" w:color="auto" w:fill="auto"/>
            <w:tcMar>
              <w:left w:w="57" w:type="dxa"/>
              <w:right w:w="57" w:type="dxa"/>
            </w:tcMar>
            <w:vAlign w:val="top"/>
          </w:tcPr>
          <w:p w14:paraId="6449C6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outset" w:color="auto" w:sz="8" w:space="0"/>
              <w:right w:val="single" w:color="auto" w:sz="8" w:space="0"/>
            </w:tcBorders>
            <w:shd w:val="clear" w:color="auto" w:fill="auto"/>
            <w:tcMar>
              <w:left w:w="57" w:type="dxa"/>
              <w:right w:w="57" w:type="dxa"/>
            </w:tcMar>
            <w:vAlign w:val="top"/>
          </w:tcPr>
          <w:p w14:paraId="68BD36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6F4DD2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81" w:hRule="atLeast"/>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3771738">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14:paraId="0C1492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（六）其他处理</w:t>
            </w:r>
          </w:p>
        </w:tc>
        <w:tc>
          <w:tcPr>
            <w:tcW w:w="3739" w:type="dxa"/>
            <w:tcBorders>
              <w:top w:val="nil"/>
              <w:left w:val="nil"/>
              <w:bottom w:val="single" w:color="auto" w:sz="8" w:space="0"/>
              <w:right w:val="single" w:color="auto" w:sz="8" w:space="0"/>
            </w:tcBorders>
            <w:shd w:val="clear" w:color="auto" w:fill="auto"/>
            <w:tcMar>
              <w:left w:w="57" w:type="dxa"/>
              <w:right w:w="57" w:type="dxa"/>
            </w:tcMar>
            <w:vAlign w:val="center"/>
          </w:tcPr>
          <w:p w14:paraId="6F6005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1.申请人无正当理由逾期不补正、行政机关不再处理其政府信息公开申请</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54FE9E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174AAF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6695CB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1A9328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09C4E2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22B03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76A2E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7A558C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B70796D">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14:paraId="1FE3BA80">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center"/>
          </w:tcPr>
          <w:p w14:paraId="5986BA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2.申请人逾期未按收费通知要求缴纳费用、行政机关不再处理其政府信息公开申请</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293CF0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0D3A18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1C18D2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34C64D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274197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7770F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BE674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6A8905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C3BBE12">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949"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14:paraId="4B14AC5F">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3739" w:type="dxa"/>
            <w:tcBorders>
              <w:top w:val="nil"/>
              <w:left w:val="nil"/>
              <w:bottom w:val="single" w:color="auto" w:sz="8" w:space="0"/>
              <w:right w:val="single" w:color="auto" w:sz="8" w:space="0"/>
            </w:tcBorders>
            <w:shd w:val="clear" w:color="auto" w:fill="auto"/>
            <w:tcMar>
              <w:left w:w="57" w:type="dxa"/>
              <w:right w:w="57" w:type="dxa"/>
            </w:tcMar>
            <w:vAlign w:val="center"/>
          </w:tcPr>
          <w:p w14:paraId="34792B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3.其他</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304F8B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2B460A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24A99E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197712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4CCE74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44CCC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8F64B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3DDB45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9E70050">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c>
          <w:tcPr>
            <w:tcW w:w="4688"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72FD2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（七）总计</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02519D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550C7A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0A5B5A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1E97CB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2DDC10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FFF93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94718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r>
      <w:tr w14:paraId="3A1B0E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458"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4137B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四、结转下年度继续办理</w:t>
            </w:r>
          </w:p>
        </w:tc>
        <w:tc>
          <w:tcPr>
            <w:tcW w:w="404" w:type="dxa"/>
            <w:tcBorders>
              <w:top w:val="nil"/>
              <w:left w:val="nil"/>
              <w:bottom w:val="single" w:color="auto" w:sz="8" w:space="0"/>
              <w:right w:val="single" w:color="auto" w:sz="8" w:space="0"/>
            </w:tcBorders>
            <w:shd w:val="clear" w:color="auto" w:fill="auto"/>
            <w:tcMar>
              <w:left w:w="57" w:type="dxa"/>
              <w:right w:w="57" w:type="dxa"/>
            </w:tcMar>
            <w:vAlign w:val="center"/>
          </w:tcPr>
          <w:p w14:paraId="6165C3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00" w:type="dxa"/>
            <w:tcBorders>
              <w:top w:val="nil"/>
              <w:left w:val="nil"/>
              <w:bottom w:val="single" w:color="auto" w:sz="8" w:space="0"/>
              <w:right w:val="single" w:color="auto" w:sz="8" w:space="0"/>
            </w:tcBorders>
            <w:shd w:val="clear" w:color="auto" w:fill="auto"/>
            <w:tcMar>
              <w:left w:w="57" w:type="dxa"/>
              <w:right w:w="57" w:type="dxa"/>
            </w:tcMar>
            <w:vAlign w:val="center"/>
          </w:tcPr>
          <w:p w14:paraId="486B9A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34" w:type="dxa"/>
            <w:tcBorders>
              <w:top w:val="nil"/>
              <w:left w:val="nil"/>
              <w:bottom w:val="single" w:color="auto" w:sz="8" w:space="0"/>
              <w:right w:val="single" w:color="auto" w:sz="8" w:space="0"/>
            </w:tcBorders>
            <w:shd w:val="clear" w:color="auto" w:fill="auto"/>
            <w:tcMar>
              <w:left w:w="57" w:type="dxa"/>
              <w:right w:w="57" w:type="dxa"/>
            </w:tcMar>
            <w:vAlign w:val="center"/>
          </w:tcPr>
          <w:p w14:paraId="50A340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773" w:type="dxa"/>
            <w:tcBorders>
              <w:top w:val="nil"/>
              <w:left w:val="nil"/>
              <w:bottom w:val="single" w:color="auto" w:sz="8" w:space="0"/>
              <w:right w:val="single" w:color="auto" w:sz="8" w:space="0"/>
            </w:tcBorders>
            <w:shd w:val="clear" w:color="auto" w:fill="auto"/>
            <w:tcMar>
              <w:left w:w="57" w:type="dxa"/>
              <w:right w:w="57" w:type="dxa"/>
            </w:tcMar>
            <w:vAlign w:val="center"/>
          </w:tcPr>
          <w:p w14:paraId="0B3A46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93" w:type="dxa"/>
            <w:tcBorders>
              <w:top w:val="nil"/>
              <w:left w:val="nil"/>
              <w:bottom w:val="single" w:color="auto" w:sz="8" w:space="0"/>
              <w:right w:val="single" w:color="auto" w:sz="8" w:space="0"/>
            </w:tcBorders>
            <w:shd w:val="clear" w:color="auto" w:fill="auto"/>
            <w:tcMar>
              <w:left w:w="57" w:type="dxa"/>
              <w:right w:w="57" w:type="dxa"/>
            </w:tcMar>
            <w:vAlign w:val="center"/>
          </w:tcPr>
          <w:p w14:paraId="6E901A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06A43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FABE9C3">
            <w:pPr>
              <w:keepNext w:val="0"/>
              <w:keepLines w:val="0"/>
              <w:pageBreakBefore w:val="0"/>
              <w:widowControl/>
              <w:kinsoku/>
              <w:wordWrap/>
              <w:overflowPunct/>
              <w:topLinePunct w:val="0"/>
              <w:autoSpaceDE/>
              <w:autoSpaceDN/>
              <w:bidi w:val="0"/>
              <w:adjustRightInd/>
              <w:snapToGrid/>
              <w:spacing w:line="350" w:lineRule="exact"/>
              <w:ind w:firstLine="0" w:firstLineChars="0"/>
              <w:textAlignment w:val="auto"/>
              <w:rPr>
                <w:rFonts w:hint="eastAsia" w:ascii="仿宋_GB2312" w:hAnsi="仿宋_GB2312" w:eastAsia="仿宋_GB2312" w:cs="仿宋_GB2312"/>
                <w:sz w:val="24"/>
                <w:szCs w:val="24"/>
              </w:rPr>
            </w:pPr>
          </w:p>
        </w:tc>
      </w:tr>
    </w:tbl>
    <w:p w14:paraId="043700B3">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宋体"/>
          <w:b/>
          <w:kern w:val="0"/>
          <w:sz w:val="32"/>
          <w:szCs w:val="32"/>
        </w:rPr>
      </w:pPr>
      <w:r>
        <w:rPr>
          <w:rFonts w:hint="eastAsia" w:ascii="楷体" w:hAnsi="楷体" w:eastAsia="楷体" w:cs="宋体"/>
          <w:b/>
          <w:kern w:val="0"/>
          <w:sz w:val="32"/>
          <w:szCs w:val="32"/>
        </w:rPr>
        <w:t>（一）填表说明</w:t>
      </w:r>
    </w:p>
    <w:p w14:paraId="057DB87A">
      <w:pPr>
        <w:keepNext w:val="0"/>
        <w:keepLines w:val="0"/>
        <w:pageBreakBefore w:val="0"/>
        <w:kinsoku/>
        <w:wordWrap/>
        <w:overflowPunct/>
        <w:topLinePunct w:val="0"/>
        <w:autoSpaceDE/>
        <w:autoSpaceDN/>
        <w:bidi w:val="0"/>
        <w:adjustRightInd/>
        <w:snapToGrid/>
        <w:spacing w:line="560" w:lineRule="exact"/>
        <w:ind w:firstLine="639" w:firstLineChars="199"/>
        <w:textAlignment w:val="auto"/>
        <w:rPr>
          <w:rFonts w:hint="eastAsia" w:ascii="仿宋_GB2312" w:hAnsi="宋体" w:eastAsia="仿宋_GB2312" w:cs="宋体"/>
          <w:b/>
          <w:kern w:val="0"/>
          <w:sz w:val="32"/>
          <w:szCs w:val="32"/>
        </w:rPr>
      </w:pPr>
      <w:r>
        <w:rPr>
          <w:rFonts w:hint="eastAsia" w:ascii="仿宋_GB2312" w:hAnsi="宋体" w:eastAsia="仿宋_GB2312" w:cs="宋体"/>
          <w:b/>
          <w:kern w:val="0"/>
          <w:sz w:val="32"/>
          <w:szCs w:val="32"/>
        </w:rPr>
        <w:t>1.</w:t>
      </w:r>
      <w:r>
        <w:rPr>
          <w:rFonts w:ascii="仿宋_GB2312" w:hAnsi="宋体" w:eastAsia="仿宋_GB2312" w:cs="宋体"/>
          <w:b/>
          <w:kern w:val="0"/>
          <w:sz w:val="32"/>
          <w:szCs w:val="32"/>
        </w:rPr>
        <w:t>本年新收政府信息公开申请数量</w:t>
      </w:r>
    </w:p>
    <w:p w14:paraId="0ADD1828">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kern w:val="0"/>
          <w:sz w:val="32"/>
          <w:szCs w:val="32"/>
        </w:rPr>
      </w:pPr>
      <w:r>
        <w:rPr>
          <w:rFonts w:ascii="仿宋_GB2312" w:hAnsi="宋体" w:eastAsia="仿宋_GB2312" w:cs="宋体"/>
          <w:kern w:val="0"/>
          <w:sz w:val="32"/>
          <w:szCs w:val="32"/>
        </w:rPr>
        <w:t>填报本年度本机关接收到的政府信息公开申请数量</w:t>
      </w:r>
      <w:r>
        <w:rPr>
          <w:rFonts w:hint="eastAsia" w:ascii="楷体" w:hAnsi="楷体" w:eastAsia="楷体" w:cs="宋体"/>
          <w:kern w:val="0"/>
          <w:sz w:val="32"/>
          <w:szCs w:val="32"/>
        </w:rPr>
        <w:t>（</w:t>
      </w:r>
      <w:r>
        <w:rPr>
          <w:rFonts w:ascii="楷体" w:hAnsi="楷体" w:eastAsia="楷体" w:cs="宋体"/>
          <w:kern w:val="0"/>
          <w:sz w:val="32"/>
          <w:szCs w:val="32"/>
        </w:rPr>
        <w:t>注：本机关收到的申请，是指申请人向本机关提交并以本机关名义作出答复的申请。部门代政府起草答复文书的，不纳入部门的统计范围</w:t>
      </w:r>
      <w:r>
        <w:rPr>
          <w:rFonts w:hint="eastAsia" w:ascii="楷体" w:hAnsi="楷体" w:eastAsia="楷体" w:cs="宋体"/>
          <w:kern w:val="0"/>
          <w:sz w:val="32"/>
          <w:szCs w:val="32"/>
        </w:rPr>
        <w:t>）</w:t>
      </w:r>
      <w:r>
        <w:rPr>
          <w:rFonts w:ascii="楷体" w:hAnsi="楷体" w:eastAsia="楷体" w:cs="宋体"/>
          <w:kern w:val="0"/>
          <w:sz w:val="32"/>
          <w:szCs w:val="32"/>
        </w:rPr>
        <w:t>。</w:t>
      </w:r>
    </w:p>
    <w:p w14:paraId="53BF2C9C">
      <w:pPr>
        <w:keepNext w:val="0"/>
        <w:keepLines w:val="0"/>
        <w:pageBreakBefore w:val="0"/>
        <w:kinsoku/>
        <w:wordWrap/>
        <w:overflowPunct/>
        <w:topLinePunct w:val="0"/>
        <w:autoSpaceDE/>
        <w:autoSpaceDN/>
        <w:bidi w:val="0"/>
        <w:adjustRightInd/>
        <w:snapToGrid/>
        <w:spacing w:line="560" w:lineRule="exact"/>
        <w:ind w:firstLine="639" w:firstLineChars="199"/>
        <w:textAlignment w:val="auto"/>
        <w:rPr>
          <w:rFonts w:hint="eastAsia" w:ascii="仿宋_GB2312" w:hAnsi="宋体" w:eastAsia="仿宋_GB2312" w:cs="宋体"/>
          <w:b/>
          <w:kern w:val="0"/>
          <w:sz w:val="32"/>
          <w:szCs w:val="32"/>
        </w:rPr>
      </w:pPr>
      <w:r>
        <w:rPr>
          <w:rFonts w:ascii="仿宋_GB2312" w:hAnsi="宋体" w:eastAsia="仿宋_GB2312" w:cs="宋体"/>
          <w:b/>
          <w:kern w:val="0"/>
          <w:sz w:val="32"/>
          <w:szCs w:val="32"/>
        </w:rPr>
        <w:t>2</w:t>
      </w:r>
      <w:r>
        <w:rPr>
          <w:rFonts w:hint="eastAsia" w:ascii="仿宋_GB2312" w:hAnsi="宋体" w:eastAsia="仿宋_GB2312" w:cs="宋体"/>
          <w:b/>
          <w:kern w:val="0"/>
          <w:sz w:val="32"/>
          <w:szCs w:val="32"/>
        </w:rPr>
        <w:t>.</w:t>
      </w:r>
      <w:r>
        <w:rPr>
          <w:rFonts w:ascii="仿宋_GB2312" w:hAnsi="宋体" w:eastAsia="仿宋_GB2312" w:cs="宋体"/>
          <w:b/>
          <w:kern w:val="0"/>
          <w:sz w:val="32"/>
          <w:szCs w:val="32"/>
        </w:rPr>
        <w:t>上年结转政府信息公开申请数量</w:t>
      </w:r>
    </w:p>
    <w:p w14:paraId="0606E4A8">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kern w:val="0"/>
          <w:sz w:val="32"/>
          <w:szCs w:val="32"/>
        </w:rPr>
      </w:pPr>
      <w:r>
        <w:rPr>
          <w:rFonts w:ascii="仿宋_GB2312" w:hAnsi="宋体" w:eastAsia="仿宋_GB2312" w:cs="宋体"/>
          <w:kern w:val="0"/>
          <w:sz w:val="32"/>
          <w:szCs w:val="32"/>
        </w:rPr>
        <w:t>填报本机关上一年度接收，本年度作出答复的政府信息公开申请数量</w:t>
      </w:r>
      <w:r>
        <w:rPr>
          <w:rFonts w:hint="eastAsia" w:ascii="楷体" w:hAnsi="楷体" w:eastAsia="楷体" w:cs="宋体"/>
          <w:kern w:val="0"/>
          <w:sz w:val="32"/>
          <w:szCs w:val="32"/>
        </w:rPr>
        <w:t>（</w:t>
      </w:r>
      <w:r>
        <w:rPr>
          <w:rFonts w:ascii="楷体" w:hAnsi="楷体" w:eastAsia="楷体" w:cs="宋体"/>
          <w:kern w:val="0"/>
          <w:sz w:val="32"/>
          <w:szCs w:val="32"/>
        </w:rPr>
        <w:t>注：不包括行政复议或者行政诉讼被纠错后，重新作出答复的情形</w:t>
      </w:r>
      <w:r>
        <w:rPr>
          <w:rFonts w:hint="eastAsia" w:ascii="楷体" w:hAnsi="楷体" w:eastAsia="楷体" w:cs="宋体"/>
          <w:kern w:val="0"/>
          <w:sz w:val="32"/>
          <w:szCs w:val="32"/>
        </w:rPr>
        <w:t>）</w:t>
      </w:r>
      <w:r>
        <w:rPr>
          <w:rFonts w:hint="eastAsia" w:ascii="仿宋_GB2312" w:hAnsi="宋体" w:eastAsia="仿宋_GB2312" w:cs="宋体"/>
          <w:kern w:val="0"/>
          <w:sz w:val="32"/>
          <w:szCs w:val="32"/>
        </w:rPr>
        <w:t>。</w:t>
      </w:r>
    </w:p>
    <w:p w14:paraId="18C8D59F">
      <w:pPr>
        <w:keepNext w:val="0"/>
        <w:keepLines w:val="0"/>
        <w:pageBreakBefore w:val="0"/>
        <w:kinsoku/>
        <w:wordWrap/>
        <w:overflowPunct/>
        <w:topLinePunct w:val="0"/>
        <w:autoSpaceDE/>
        <w:autoSpaceDN/>
        <w:bidi w:val="0"/>
        <w:adjustRightInd/>
        <w:snapToGrid/>
        <w:spacing w:line="560" w:lineRule="exact"/>
        <w:ind w:firstLine="639" w:firstLineChars="199"/>
        <w:textAlignment w:val="auto"/>
        <w:rPr>
          <w:rFonts w:hint="eastAsia" w:ascii="仿宋_GB2312" w:hAnsi="宋体" w:eastAsia="仿宋_GB2312" w:cs="宋体"/>
          <w:b/>
          <w:kern w:val="0"/>
          <w:sz w:val="32"/>
          <w:szCs w:val="32"/>
        </w:rPr>
      </w:pPr>
      <w:r>
        <w:rPr>
          <w:rFonts w:ascii="仿宋_GB2312" w:hAnsi="宋体" w:eastAsia="仿宋_GB2312" w:cs="宋体"/>
          <w:b/>
          <w:kern w:val="0"/>
          <w:sz w:val="32"/>
          <w:szCs w:val="32"/>
        </w:rPr>
        <w:t>3</w:t>
      </w:r>
      <w:r>
        <w:rPr>
          <w:rFonts w:hint="eastAsia" w:ascii="仿宋_GB2312" w:hAnsi="宋体" w:eastAsia="仿宋_GB2312" w:cs="宋体"/>
          <w:b/>
          <w:kern w:val="0"/>
          <w:sz w:val="32"/>
          <w:szCs w:val="32"/>
        </w:rPr>
        <w:t>.</w:t>
      </w:r>
      <w:r>
        <w:rPr>
          <w:rFonts w:ascii="仿宋_GB2312" w:hAnsi="宋体" w:eastAsia="仿宋_GB2312" w:cs="宋体"/>
          <w:b/>
          <w:kern w:val="0"/>
          <w:sz w:val="32"/>
          <w:szCs w:val="32"/>
        </w:rPr>
        <w:t>本年度办理结果</w:t>
      </w:r>
    </w:p>
    <w:p w14:paraId="1A38322D">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FZFSK--GBK1-0" w:hAnsi="FZFSK--GBK1-0"/>
          <w:color w:val="000000"/>
          <w:sz w:val="32"/>
          <w:szCs w:val="32"/>
        </w:rPr>
      </w:pPr>
      <w:r>
        <w:rPr>
          <w:rFonts w:ascii="仿宋_GB2312" w:hAnsi="宋体" w:eastAsia="仿宋_GB2312" w:cs="宋体"/>
          <w:kern w:val="0"/>
          <w:sz w:val="32"/>
          <w:szCs w:val="32"/>
        </w:rPr>
        <w:t>分类填报本年度办理政府信息公开申请的情况</w:t>
      </w:r>
      <w:r>
        <w:rPr>
          <w:rFonts w:hint="eastAsia" w:ascii="楷体" w:hAnsi="楷体" w:eastAsia="楷体" w:cs="宋体"/>
          <w:kern w:val="0"/>
          <w:sz w:val="32"/>
          <w:szCs w:val="32"/>
        </w:rPr>
        <w:t>（</w:t>
      </w:r>
      <w:r>
        <w:rPr>
          <w:rFonts w:ascii="楷体" w:hAnsi="楷体" w:eastAsia="楷体" w:cs="宋体"/>
          <w:kern w:val="0"/>
          <w:sz w:val="32"/>
          <w:szCs w:val="32"/>
        </w:rPr>
        <w:t>注：本年度办理的申请，包括本年度收到的申请和上年度结转的申请</w:t>
      </w:r>
      <w:r>
        <w:rPr>
          <w:rFonts w:hint="eastAsia" w:ascii="楷体" w:hAnsi="楷体" w:eastAsia="楷体" w:cs="宋体"/>
          <w:kern w:val="0"/>
          <w:sz w:val="32"/>
          <w:szCs w:val="32"/>
        </w:rPr>
        <w:t>）</w:t>
      </w:r>
      <w:r>
        <w:rPr>
          <w:rFonts w:ascii="楷体" w:hAnsi="楷体" w:eastAsia="楷体" w:cs="宋体"/>
          <w:kern w:val="0"/>
          <w:sz w:val="32"/>
          <w:szCs w:val="32"/>
        </w:rPr>
        <w:t>。</w:t>
      </w:r>
    </w:p>
    <w:p w14:paraId="0EDD7513">
      <w:pPr>
        <w:keepNext w:val="0"/>
        <w:keepLines w:val="0"/>
        <w:pageBreakBefore w:val="0"/>
        <w:kinsoku/>
        <w:wordWrap/>
        <w:overflowPunct/>
        <w:topLinePunct w:val="0"/>
        <w:autoSpaceDE/>
        <w:autoSpaceDN/>
        <w:bidi w:val="0"/>
        <w:adjustRightInd/>
        <w:snapToGrid/>
        <w:spacing w:line="560" w:lineRule="exact"/>
        <w:ind w:firstLine="639" w:firstLineChars="199"/>
        <w:textAlignment w:val="auto"/>
        <w:rPr>
          <w:rFonts w:hint="eastAsia" w:ascii="FZFSK--GBK1-0" w:hAnsi="FZFSK--GBK1-0"/>
          <w:color w:val="000000"/>
          <w:sz w:val="32"/>
          <w:szCs w:val="32"/>
        </w:rPr>
      </w:pPr>
      <w:r>
        <w:rPr>
          <w:rFonts w:hint="eastAsia" w:ascii="仿宋_GB2312" w:hAnsi="宋体" w:eastAsia="仿宋_GB2312" w:cs="宋体"/>
          <w:b/>
          <w:kern w:val="0"/>
          <w:sz w:val="32"/>
          <w:szCs w:val="32"/>
        </w:rPr>
        <w:t>4.</w:t>
      </w:r>
      <w:r>
        <w:rPr>
          <w:rFonts w:ascii="仿宋_GB2312" w:hAnsi="宋体" w:eastAsia="仿宋_GB2312" w:cs="宋体"/>
          <w:b/>
          <w:kern w:val="0"/>
          <w:sz w:val="32"/>
          <w:szCs w:val="32"/>
        </w:rPr>
        <w:t>结转下年度继续办理</w:t>
      </w:r>
    </w:p>
    <w:p w14:paraId="773CD6A2">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FZFSK--GBK1-0" w:hAnsi="FZFSK--GBK1-0"/>
          <w:color w:val="000000"/>
          <w:sz w:val="28"/>
          <w:szCs w:val="28"/>
        </w:rPr>
      </w:pPr>
      <w:r>
        <w:rPr>
          <w:rFonts w:ascii="仿宋_GB2312" w:hAnsi="宋体" w:eastAsia="仿宋_GB2312" w:cs="宋体"/>
          <w:kern w:val="0"/>
          <w:sz w:val="32"/>
          <w:szCs w:val="32"/>
        </w:rPr>
        <w:t>填报本机关本年度接收，下一年度作出答复的政府信息公开申请数量</w:t>
      </w:r>
      <w:r>
        <w:rPr>
          <w:rFonts w:hint="eastAsia" w:ascii="楷体" w:hAnsi="楷体" w:eastAsia="楷体" w:cs="宋体"/>
          <w:kern w:val="0"/>
          <w:sz w:val="32"/>
          <w:szCs w:val="32"/>
        </w:rPr>
        <w:t>（</w:t>
      </w:r>
      <w:r>
        <w:rPr>
          <w:rFonts w:ascii="楷体" w:hAnsi="楷体" w:eastAsia="楷体" w:cs="宋体"/>
          <w:kern w:val="0"/>
          <w:sz w:val="32"/>
          <w:szCs w:val="32"/>
        </w:rPr>
        <w:t>注：答复期限为本</w:t>
      </w:r>
      <w:r>
        <w:rPr>
          <w:rFonts w:hint="eastAsia" w:ascii="楷体" w:hAnsi="楷体" w:eastAsia="楷体" w:cs="宋体"/>
          <w:kern w:val="0"/>
          <w:sz w:val="32"/>
          <w:szCs w:val="32"/>
        </w:rPr>
        <w:t>年度</w:t>
      </w:r>
      <w:r>
        <w:rPr>
          <w:rFonts w:ascii="楷体" w:hAnsi="楷体" w:eastAsia="楷体" w:cs="宋体"/>
          <w:kern w:val="0"/>
          <w:sz w:val="32"/>
          <w:szCs w:val="32"/>
        </w:rPr>
        <w:t>的，不能结转至下年度办理</w:t>
      </w:r>
      <w:r>
        <w:rPr>
          <w:rFonts w:hint="eastAsia" w:ascii="楷体" w:hAnsi="楷体" w:eastAsia="楷体" w:cs="宋体"/>
          <w:kern w:val="0"/>
          <w:sz w:val="32"/>
          <w:szCs w:val="32"/>
        </w:rPr>
        <w:t>）</w:t>
      </w:r>
      <w:r>
        <w:rPr>
          <w:rFonts w:ascii="楷体" w:hAnsi="楷体" w:eastAsia="楷体" w:cs="宋体"/>
          <w:kern w:val="0"/>
          <w:sz w:val="32"/>
          <w:szCs w:val="32"/>
        </w:rPr>
        <w:t>。</w:t>
      </w:r>
    </w:p>
    <w:p w14:paraId="45DCAA6F">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宋体"/>
          <w:b/>
          <w:kern w:val="0"/>
          <w:sz w:val="32"/>
          <w:szCs w:val="32"/>
        </w:rPr>
      </w:pPr>
      <w:r>
        <w:rPr>
          <w:rFonts w:hint="eastAsia" w:ascii="楷体" w:hAnsi="楷体" w:eastAsia="楷体" w:cs="宋体"/>
          <w:b/>
          <w:kern w:val="0"/>
          <w:sz w:val="32"/>
          <w:szCs w:val="32"/>
        </w:rPr>
        <w:t>（二）</w:t>
      </w:r>
      <w:r>
        <w:rPr>
          <w:rFonts w:ascii="楷体" w:hAnsi="楷体" w:eastAsia="楷体" w:cs="宋体"/>
          <w:b/>
          <w:kern w:val="0"/>
          <w:sz w:val="32"/>
          <w:szCs w:val="32"/>
        </w:rPr>
        <w:t>注意事项</w:t>
      </w:r>
    </w:p>
    <w:p w14:paraId="7DDFDC12">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w:t>
      </w:r>
      <w:r>
        <w:rPr>
          <w:rFonts w:ascii="仿宋_GB2312" w:hAnsi="宋体" w:eastAsia="仿宋_GB2312" w:cs="宋体"/>
          <w:b/>
          <w:bCs/>
          <w:kern w:val="0"/>
          <w:sz w:val="32"/>
          <w:szCs w:val="32"/>
        </w:rPr>
        <w:t>本表只填报数字，不得填入其他内容；没有数据的，填“0”，不得空白</w:t>
      </w:r>
      <w:r>
        <w:rPr>
          <w:rFonts w:ascii="仿宋_GB2312" w:hAnsi="宋体" w:eastAsia="仿宋_GB2312" w:cs="宋体"/>
          <w:kern w:val="0"/>
          <w:sz w:val="32"/>
          <w:szCs w:val="32"/>
        </w:rPr>
        <w:t>。</w:t>
      </w:r>
    </w:p>
    <w:p w14:paraId="54668E2F">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w:t>
      </w:r>
      <w:r>
        <w:rPr>
          <w:rFonts w:ascii="仿宋_GB2312" w:hAnsi="宋体" w:eastAsia="仿宋_GB2312" w:cs="宋体"/>
          <w:kern w:val="0"/>
          <w:sz w:val="32"/>
          <w:szCs w:val="32"/>
        </w:rPr>
        <w:t>要全面落实政府信息依申请公开登记制度，注意对申请人类别、办理结果类型等进行详细登记，以便准确填报信息公开年报。</w:t>
      </w:r>
    </w:p>
    <w:p w14:paraId="33473E7B">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w:t>
      </w:r>
      <w:r>
        <w:rPr>
          <w:rFonts w:ascii="仿宋_GB2312" w:hAnsi="宋体" w:eastAsia="仿宋_GB2312" w:cs="宋体"/>
          <w:kern w:val="0"/>
          <w:sz w:val="32"/>
          <w:szCs w:val="32"/>
        </w:rPr>
        <w:t>要特别注意各行、各列数据之间的勾稽关系</w:t>
      </w:r>
      <w:r>
        <w:rPr>
          <w:rFonts w:hint="eastAsia" w:ascii="仿宋_GB2312" w:hAnsi="宋体" w:eastAsia="仿宋_GB2312" w:cs="宋体"/>
          <w:kern w:val="0"/>
          <w:sz w:val="32"/>
          <w:szCs w:val="32"/>
        </w:rPr>
        <w:t>，确保横向各行、纵向各列数据逻辑关系正确。</w:t>
      </w:r>
    </w:p>
    <w:p w14:paraId="4C214B72">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4.“本机关不掌握相关政府信息”，这一指标涵盖两种情况，既包括依据政府信息公开条例第三十六条（四）做出的处理决定，又包括依据第三十六条（五）做出的处理决定。</w:t>
      </w:r>
    </w:p>
    <w:p w14:paraId="4A821938">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w:t>
      </w:r>
      <w:r>
        <w:rPr>
          <w:rFonts w:ascii="仿宋_GB2312" w:hAnsi="宋体" w:eastAsia="仿宋_GB2312" w:cs="宋体"/>
          <w:kern w:val="0"/>
          <w:sz w:val="32"/>
          <w:szCs w:val="32"/>
        </w:rPr>
        <w:t>“本年度办理结果”中的“其他处理”主要是</w:t>
      </w:r>
      <w:r>
        <w:rPr>
          <w:rFonts w:hint="eastAsia" w:ascii="仿宋_GB2312" w:hAnsi="宋体" w:eastAsia="仿宋_GB2312" w:cs="宋体"/>
          <w:kern w:val="0"/>
          <w:sz w:val="32"/>
          <w:szCs w:val="32"/>
          <w:lang w:eastAsia="zh-CN"/>
        </w:rPr>
        <w:t>基于技术考虑，只在</w:t>
      </w:r>
      <w:r>
        <w:rPr>
          <w:rFonts w:ascii="仿宋_GB2312" w:hAnsi="宋体" w:eastAsia="仿宋_GB2312" w:cs="宋体"/>
          <w:kern w:val="0"/>
          <w:sz w:val="32"/>
          <w:szCs w:val="32"/>
        </w:rPr>
        <w:t>极少数特殊情况</w:t>
      </w:r>
      <w:r>
        <w:rPr>
          <w:rFonts w:hint="eastAsia" w:ascii="仿宋_GB2312" w:hAnsi="宋体" w:eastAsia="仿宋_GB2312" w:cs="宋体"/>
          <w:kern w:val="0"/>
          <w:sz w:val="32"/>
          <w:szCs w:val="32"/>
          <w:lang w:eastAsia="zh-CN"/>
        </w:rPr>
        <w:t>下使用</w:t>
      </w:r>
      <w:r>
        <w:rPr>
          <w:rFonts w:ascii="仿宋_GB2312" w:hAnsi="宋体" w:eastAsia="仿宋_GB2312" w:cs="宋体"/>
          <w:kern w:val="0"/>
          <w:sz w:val="32"/>
          <w:szCs w:val="32"/>
        </w:rPr>
        <w:t>。原则上，所有的政府信息公开申请，都应当按照5种法定的处理方式</w:t>
      </w:r>
      <w:r>
        <w:rPr>
          <w:rFonts w:hint="eastAsia" w:ascii="楷体" w:hAnsi="楷体" w:eastAsia="楷体" w:cs="宋体"/>
          <w:kern w:val="0"/>
          <w:sz w:val="32"/>
          <w:szCs w:val="32"/>
        </w:rPr>
        <w:t>（</w:t>
      </w:r>
      <w:r>
        <w:rPr>
          <w:rFonts w:ascii="楷体" w:hAnsi="楷体" w:eastAsia="楷体" w:cs="宋体"/>
          <w:kern w:val="0"/>
          <w:sz w:val="32"/>
          <w:szCs w:val="32"/>
        </w:rPr>
        <w:t>注：1.予以公开，2.部分公开，3.不予公开，4.无法提供，5.不予处理</w:t>
      </w:r>
      <w:r>
        <w:rPr>
          <w:rFonts w:hint="eastAsia" w:ascii="楷体" w:hAnsi="楷体" w:eastAsia="楷体" w:cs="宋体"/>
          <w:kern w:val="0"/>
          <w:sz w:val="32"/>
          <w:szCs w:val="32"/>
        </w:rPr>
        <w:t>）</w:t>
      </w:r>
      <w:r>
        <w:rPr>
          <w:rFonts w:ascii="仿宋_GB2312" w:hAnsi="宋体" w:eastAsia="仿宋_GB2312" w:cs="宋体"/>
          <w:kern w:val="0"/>
          <w:sz w:val="32"/>
          <w:szCs w:val="32"/>
        </w:rPr>
        <w:t>做出处理。</w:t>
      </w:r>
    </w:p>
    <w:p w14:paraId="3A8F5856">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黑体" w:hAnsi="黑体" w:eastAsia="黑体" w:cs="宋体"/>
          <w:sz w:val="32"/>
          <w:szCs w:val="32"/>
        </w:rPr>
      </w:pPr>
      <w:r>
        <w:rPr>
          <w:rFonts w:hint="eastAsia" w:ascii="黑体" w:hAnsi="黑体" w:eastAsia="黑体" w:cs="宋体"/>
          <w:sz w:val="32"/>
          <w:szCs w:val="32"/>
        </w:rPr>
        <w:t>四、政府信息公开行政复议、行政诉讼情况</w:t>
      </w:r>
    </w:p>
    <w:p w14:paraId="123C754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rPr>
        <w:t>该部分以表格形式报告。表格如下：</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280D5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29715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6B97C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行政诉讼</w:t>
            </w:r>
          </w:p>
        </w:tc>
      </w:tr>
      <w:tr w14:paraId="3ACFB1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B9C86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40513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结果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0DD19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其他</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052CE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尚未</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84B7A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37328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2BBB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复议后起诉</w:t>
            </w:r>
          </w:p>
        </w:tc>
      </w:tr>
      <w:tr w14:paraId="123B64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A65FABA">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5164F2">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BE32C8A">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8084E3">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787BB08">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4"/>
                <w:szCs w:val="24"/>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FCB42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结果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4D3F5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结果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6230B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其他</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F3E43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尚未</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94E9D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C6306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结果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77C61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结果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DFFB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其他</w:t>
            </w:r>
            <w:r>
              <w:rPr>
                <w:rFonts w:hint="eastAsia" w:ascii="仿宋_GB2312" w:hAnsi="仿宋_GB2312" w:eastAsia="仿宋_GB2312" w:cs="仿宋_GB2312"/>
                <w:color w:val="000000"/>
                <w:kern w:val="0"/>
                <w:sz w:val="24"/>
                <w:szCs w:val="24"/>
                <w:lang w:val="en-US" w:eastAsia="zh-CN" w:bidi="ar"/>
              </w:rPr>
              <w:br w:type="textWrapping"/>
            </w:r>
            <w:r>
              <w:rPr>
                <w:rFonts w:hint="eastAsia" w:ascii="仿宋_GB2312" w:hAnsi="仿宋_GB2312" w:eastAsia="仿宋_GB2312" w:cs="仿宋_GB2312"/>
                <w:color w:val="000000"/>
                <w:kern w:val="0"/>
                <w:sz w:val="24"/>
                <w:szCs w:val="24"/>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CE18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尚未</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FC071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总计</w:t>
            </w:r>
          </w:p>
        </w:tc>
      </w:tr>
      <w:tr w14:paraId="1F5E04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28910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E0EA8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BF338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9B97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47E1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EE1A3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C216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1DD4B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4F75A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01736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560F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88250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E5352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EDA71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2BBE66C">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4"/>
                <w:szCs w:val="24"/>
              </w:rPr>
            </w:pPr>
          </w:p>
        </w:tc>
      </w:tr>
    </w:tbl>
    <w:p w14:paraId="3E05A970">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宋体"/>
          <w:b/>
          <w:kern w:val="0"/>
          <w:sz w:val="32"/>
          <w:szCs w:val="32"/>
        </w:rPr>
      </w:pPr>
      <w:r>
        <w:rPr>
          <w:rFonts w:hint="eastAsia" w:ascii="楷体" w:hAnsi="楷体" w:eastAsia="楷体" w:cs="宋体"/>
          <w:b/>
          <w:kern w:val="0"/>
          <w:sz w:val="32"/>
          <w:szCs w:val="32"/>
        </w:rPr>
        <w:t>（一）填表说明</w:t>
      </w:r>
    </w:p>
    <w:p w14:paraId="310FADAB">
      <w:pPr>
        <w:keepNext w:val="0"/>
        <w:keepLines w:val="0"/>
        <w:pageBreakBefore w:val="0"/>
        <w:kinsoku/>
        <w:wordWrap/>
        <w:overflowPunct/>
        <w:topLinePunct w:val="0"/>
        <w:autoSpaceDE/>
        <w:autoSpaceDN/>
        <w:bidi w:val="0"/>
        <w:adjustRightInd/>
        <w:snapToGrid/>
        <w:spacing w:line="560" w:lineRule="exact"/>
        <w:ind w:firstLine="639" w:firstLineChars="199"/>
        <w:textAlignment w:val="auto"/>
        <w:rPr>
          <w:rFonts w:hint="eastAsia" w:ascii="仿宋_GB2312" w:hAnsi="宋体" w:eastAsia="仿宋_GB2312" w:cs="宋体"/>
          <w:b/>
          <w:kern w:val="0"/>
          <w:sz w:val="32"/>
          <w:szCs w:val="32"/>
        </w:rPr>
      </w:pPr>
      <w:r>
        <w:rPr>
          <w:rFonts w:hint="eastAsia" w:ascii="仿宋_GB2312" w:hAnsi="宋体" w:eastAsia="仿宋_GB2312" w:cs="宋体"/>
          <w:b/>
          <w:kern w:val="0"/>
          <w:sz w:val="32"/>
          <w:szCs w:val="32"/>
        </w:rPr>
        <w:t>1.</w:t>
      </w:r>
      <w:r>
        <w:rPr>
          <w:rFonts w:ascii="仿宋_GB2312" w:hAnsi="宋体" w:eastAsia="仿宋_GB2312" w:cs="宋体"/>
          <w:b/>
          <w:kern w:val="0"/>
          <w:sz w:val="32"/>
          <w:szCs w:val="32"/>
        </w:rPr>
        <w:t>行政复议</w:t>
      </w:r>
    </w:p>
    <w:p w14:paraId="2CB61F5F">
      <w:pPr>
        <w:keepNext w:val="0"/>
        <w:keepLines w:val="0"/>
        <w:pageBreakBefore w:val="0"/>
        <w:kinsoku/>
        <w:wordWrap/>
        <w:overflowPunct/>
        <w:topLinePunct w:val="0"/>
        <w:autoSpaceDE/>
        <w:autoSpaceDN/>
        <w:bidi w:val="0"/>
        <w:adjustRightInd/>
        <w:snapToGrid/>
        <w:spacing w:line="560" w:lineRule="exact"/>
        <w:ind w:firstLine="639" w:firstLineChars="199"/>
        <w:textAlignment w:val="auto"/>
        <w:rPr>
          <w:rFonts w:hint="eastAsia" w:ascii="仿宋_GB2312" w:hAnsi="宋体" w:eastAsia="仿宋_GB2312" w:cs="宋体"/>
          <w:kern w:val="0"/>
          <w:sz w:val="32"/>
          <w:szCs w:val="32"/>
        </w:rPr>
      </w:pPr>
      <w:r>
        <w:rPr>
          <w:rFonts w:ascii="仿宋_GB2312" w:hAnsi="宋体" w:eastAsia="仿宋_GB2312" w:cs="宋体"/>
          <w:b/>
          <w:kern w:val="0"/>
          <w:sz w:val="32"/>
          <w:szCs w:val="32"/>
        </w:rPr>
        <w:t>结果维持：</w:t>
      </w:r>
      <w:r>
        <w:rPr>
          <w:rFonts w:ascii="仿宋_GB2312" w:hAnsi="宋体" w:eastAsia="仿宋_GB2312" w:cs="宋体"/>
          <w:kern w:val="0"/>
          <w:sz w:val="32"/>
          <w:szCs w:val="32"/>
        </w:rPr>
        <w:t>填报结果为“决定维持”的行政复议案件数量。</w:t>
      </w:r>
    </w:p>
    <w:p w14:paraId="3D833EF3">
      <w:pPr>
        <w:keepNext w:val="0"/>
        <w:keepLines w:val="0"/>
        <w:pageBreakBefore w:val="0"/>
        <w:kinsoku/>
        <w:wordWrap/>
        <w:overflowPunct/>
        <w:topLinePunct w:val="0"/>
        <w:autoSpaceDE/>
        <w:autoSpaceDN/>
        <w:bidi w:val="0"/>
        <w:adjustRightInd/>
        <w:snapToGrid/>
        <w:spacing w:line="560" w:lineRule="exact"/>
        <w:ind w:firstLine="639" w:firstLineChars="199"/>
        <w:textAlignment w:val="auto"/>
        <w:rPr>
          <w:rFonts w:hint="eastAsia" w:ascii="仿宋_GB2312" w:hAnsi="宋体" w:eastAsia="仿宋_GB2312" w:cs="宋体"/>
          <w:kern w:val="0"/>
          <w:sz w:val="32"/>
          <w:szCs w:val="32"/>
        </w:rPr>
      </w:pPr>
      <w:r>
        <w:rPr>
          <w:rFonts w:ascii="仿宋_GB2312" w:hAnsi="宋体" w:eastAsia="仿宋_GB2312" w:cs="宋体"/>
          <w:b/>
          <w:kern w:val="0"/>
          <w:sz w:val="32"/>
          <w:szCs w:val="32"/>
        </w:rPr>
        <w:t>结果纠正：</w:t>
      </w:r>
      <w:r>
        <w:rPr>
          <w:rFonts w:ascii="仿宋_GB2312" w:hAnsi="宋体" w:eastAsia="仿宋_GB2312" w:cs="宋体"/>
          <w:kern w:val="0"/>
          <w:sz w:val="32"/>
          <w:szCs w:val="32"/>
        </w:rPr>
        <w:t>填报结果被纠正（包括：限期履行、决定撤销、 决定变更、确认违法等）的行政复议案件数量</w:t>
      </w:r>
      <w:r>
        <w:rPr>
          <w:rFonts w:hint="eastAsia" w:ascii="楷体" w:hAnsi="楷体" w:eastAsia="楷体" w:cs="宋体"/>
          <w:kern w:val="0"/>
          <w:sz w:val="32"/>
          <w:szCs w:val="32"/>
        </w:rPr>
        <w:t>（</w:t>
      </w:r>
      <w:r>
        <w:rPr>
          <w:rFonts w:ascii="楷体" w:hAnsi="楷体" w:eastAsia="楷体" w:cs="宋体"/>
          <w:kern w:val="0"/>
          <w:sz w:val="32"/>
          <w:szCs w:val="32"/>
        </w:rPr>
        <w:t>注：凡行政复议机关作出复议决定，且不是“决定维持”的，均应纳入“结果</w:t>
      </w:r>
      <w:r>
        <w:rPr>
          <w:rFonts w:ascii="楷体" w:hAnsi="楷体" w:eastAsia="楷体"/>
          <w:color w:val="000000"/>
          <w:sz w:val="32"/>
          <w:szCs w:val="32"/>
        </w:rPr>
        <w:t>纠正”的统计范围</w:t>
      </w:r>
      <w:r>
        <w:rPr>
          <w:rFonts w:hint="eastAsia" w:ascii="楷体" w:hAnsi="楷体" w:eastAsia="楷体" w:cs="宋体"/>
          <w:kern w:val="0"/>
          <w:sz w:val="32"/>
          <w:szCs w:val="32"/>
        </w:rPr>
        <w:t>）。</w:t>
      </w:r>
    </w:p>
    <w:p w14:paraId="42E712BF">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宋体"/>
          <w:kern w:val="0"/>
          <w:sz w:val="32"/>
          <w:szCs w:val="32"/>
        </w:rPr>
      </w:pPr>
      <w:r>
        <w:rPr>
          <w:rFonts w:ascii="仿宋_GB2312" w:hAnsi="宋体" w:eastAsia="仿宋_GB2312" w:cs="宋体"/>
          <w:b/>
          <w:kern w:val="0"/>
          <w:sz w:val="32"/>
          <w:szCs w:val="32"/>
        </w:rPr>
        <w:t>其他结果：</w:t>
      </w:r>
      <w:r>
        <w:rPr>
          <w:rFonts w:ascii="仿宋_GB2312" w:hAnsi="宋体" w:eastAsia="仿宋_GB2312" w:cs="宋体"/>
          <w:kern w:val="0"/>
          <w:sz w:val="32"/>
          <w:szCs w:val="32"/>
        </w:rPr>
        <w:t>填报因申请人撤回行政复议申请、行政复议终止等情形的行政复议案件数量</w:t>
      </w:r>
      <w:r>
        <w:rPr>
          <w:rFonts w:hint="eastAsia" w:ascii="楷体" w:hAnsi="楷体" w:eastAsia="楷体" w:cs="宋体"/>
          <w:kern w:val="0"/>
          <w:sz w:val="32"/>
          <w:szCs w:val="32"/>
        </w:rPr>
        <w:t>（</w:t>
      </w:r>
      <w:r>
        <w:rPr>
          <w:rFonts w:ascii="楷体" w:hAnsi="楷体" w:eastAsia="楷体" w:cs="宋体"/>
          <w:kern w:val="0"/>
          <w:sz w:val="32"/>
          <w:szCs w:val="32"/>
        </w:rPr>
        <w:t>注：凡行政复议机关作出复议决定的，均不得纳入“其他结果”的统计范围</w:t>
      </w:r>
      <w:r>
        <w:rPr>
          <w:rFonts w:hint="eastAsia" w:ascii="楷体" w:hAnsi="楷体" w:eastAsia="楷体" w:cs="宋体"/>
          <w:kern w:val="0"/>
          <w:sz w:val="32"/>
          <w:szCs w:val="32"/>
          <w:lang w:eastAsia="zh-CN"/>
        </w:rPr>
        <w:t>。所谓“其他结果”，是“结果维持”“结果纠正”之外的其他结果，正常情况下应当很少。</w:t>
      </w:r>
      <w:r>
        <w:rPr>
          <w:rFonts w:hint="eastAsia" w:ascii="楷体" w:hAnsi="楷体" w:eastAsia="楷体" w:cs="宋体"/>
          <w:kern w:val="0"/>
          <w:sz w:val="32"/>
          <w:szCs w:val="32"/>
        </w:rPr>
        <w:t>）</w:t>
      </w:r>
      <w:r>
        <w:rPr>
          <w:rFonts w:ascii="楷体" w:hAnsi="楷体" w:eastAsia="楷体" w:cs="宋体"/>
          <w:kern w:val="0"/>
          <w:sz w:val="32"/>
          <w:szCs w:val="32"/>
        </w:rPr>
        <w:t>。</w:t>
      </w:r>
    </w:p>
    <w:p w14:paraId="363F832F">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FZFSK--GBK1-0" w:hAnsi="FZFSK--GBK1-0"/>
          <w:color w:val="000000"/>
          <w:sz w:val="32"/>
          <w:szCs w:val="32"/>
        </w:rPr>
      </w:pPr>
      <w:r>
        <w:rPr>
          <w:rFonts w:ascii="仿宋_GB2312" w:hAnsi="宋体" w:eastAsia="仿宋_GB2312" w:cs="宋体"/>
          <w:b/>
          <w:kern w:val="0"/>
          <w:sz w:val="32"/>
          <w:szCs w:val="32"/>
        </w:rPr>
        <w:t>尚未审结：</w:t>
      </w:r>
      <w:r>
        <w:rPr>
          <w:rFonts w:ascii="仿宋_GB2312" w:hAnsi="宋体" w:eastAsia="仿宋_GB2312" w:cs="宋体"/>
          <w:kern w:val="0"/>
          <w:sz w:val="32"/>
          <w:szCs w:val="32"/>
        </w:rPr>
        <w:t>填报已收到行政复议答复通知书，但行政复议机关未在本年度作出复议决定的案件数量。</w:t>
      </w:r>
    </w:p>
    <w:p w14:paraId="48A0EEF8">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宋体"/>
          <w:kern w:val="0"/>
          <w:sz w:val="32"/>
          <w:szCs w:val="32"/>
        </w:rPr>
      </w:pPr>
      <w:r>
        <w:rPr>
          <w:rFonts w:ascii="仿宋_GB2312" w:hAnsi="宋体" w:eastAsia="仿宋_GB2312" w:cs="宋体"/>
          <w:b/>
          <w:kern w:val="0"/>
          <w:sz w:val="32"/>
          <w:szCs w:val="32"/>
        </w:rPr>
        <w:t>总计：</w:t>
      </w:r>
      <w:r>
        <w:rPr>
          <w:rFonts w:ascii="仿宋_GB2312" w:hAnsi="宋体" w:eastAsia="仿宋_GB2312" w:cs="宋体"/>
          <w:kern w:val="0"/>
          <w:sz w:val="32"/>
          <w:szCs w:val="32"/>
        </w:rPr>
        <w:t>填报本年度本机关因政府信息公开引发的行政复议案件总数</w:t>
      </w:r>
      <w:r>
        <w:rPr>
          <w:rFonts w:hint="eastAsia" w:ascii="楷体" w:hAnsi="楷体" w:eastAsia="楷体" w:cs="宋体"/>
          <w:kern w:val="0"/>
          <w:sz w:val="32"/>
          <w:szCs w:val="32"/>
        </w:rPr>
        <w:t>（</w:t>
      </w:r>
      <w:r>
        <w:rPr>
          <w:rFonts w:ascii="楷体" w:hAnsi="楷体" w:eastAsia="楷体" w:cs="宋体"/>
          <w:kern w:val="0"/>
          <w:sz w:val="32"/>
          <w:szCs w:val="32"/>
        </w:rPr>
        <w:t>注：总计</w:t>
      </w:r>
      <w:r>
        <w:rPr>
          <w:rFonts w:hint="eastAsia" w:ascii="楷体" w:hAnsi="楷体" w:eastAsia="楷体" w:cs="宋体"/>
          <w:kern w:val="0"/>
          <w:sz w:val="32"/>
          <w:szCs w:val="32"/>
        </w:rPr>
        <w:t>=</w:t>
      </w:r>
      <w:r>
        <w:rPr>
          <w:rFonts w:ascii="楷体" w:hAnsi="楷体" w:eastAsia="楷体" w:cs="宋体"/>
          <w:kern w:val="0"/>
          <w:sz w:val="32"/>
          <w:szCs w:val="32"/>
        </w:rPr>
        <w:t>结果维持</w:t>
      </w:r>
      <w:r>
        <w:rPr>
          <w:rFonts w:hint="eastAsia" w:ascii="楷体" w:hAnsi="楷体" w:eastAsia="楷体" w:cs="宋体"/>
          <w:kern w:val="0"/>
          <w:sz w:val="32"/>
          <w:szCs w:val="32"/>
        </w:rPr>
        <w:t>+</w:t>
      </w:r>
      <w:r>
        <w:rPr>
          <w:rFonts w:ascii="楷体" w:hAnsi="楷体" w:eastAsia="楷体" w:cs="宋体"/>
          <w:kern w:val="0"/>
          <w:sz w:val="32"/>
          <w:szCs w:val="32"/>
        </w:rPr>
        <w:t>结果纠正</w:t>
      </w:r>
      <w:r>
        <w:rPr>
          <w:rFonts w:hint="eastAsia" w:ascii="楷体" w:hAnsi="楷体" w:eastAsia="楷体" w:cs="宋体"/>
          <w:kern w:val="0"/>
          <w:sz w:val="32"/>
          <w:szCs w:val="32"/>
        </w:rPr>
        <w:t>+</w:t>
      </w:r>
      <w:r>
        <w:rPr>
          <w:rFonts w:ascii="楷体" w:hAnsi="楷体" w:eastAsia="楷体" w:cs="宋体"/>
          <w:kern w:val="0"/>
          <w:sz w:val="32"/>
          <w:szCs w:val="32"/>
        </w:rPr>
        <w:t>其他结果</w:t>
      </w:r>
      <w:r>
        <w:rPr>
          <w:rFonts w:hint="eastAsia" w:ascii="楷体" w:hAnsi="楷体" w:eastAsia="楷体" w:cs="宋体"/>
          <w:kern w:val="0"/>
          <w:sz w:val="32"/>
          <w:szCs w:val="32"/>
        </w:rPr>
        <w:t>+</w:t>
      </w:r>
      <w:r>
        <w:rPr>
          <w:rFonts w:ascii="楷体" w:hAnsi="楷体" w:eastAsia="楷体" w:cs="宋体"/>
          <w:kern w:val="0"/>
          <w:sz w:val="32"/>
          <w:szCs w:val="32"/>
        </w:rPr>
        <w:t>尚未审结</w:t>
      </w:r>
      <w:r>
        <w:rPr>
          <w:rFonts w:hint="eastAsia" w:ascii="楷体" w:hAnsi="楷体" w:eastAsia="楷体" w:cs="宋体"/>
          <w:kern w:val="0"/>
          <w:sz w:val="32"/>
          <w:szCs w:val="32"/>
        </w:rPr>
        <w:t>）</w:t>
      </w:r>
      <w:r>
        <w:rPr>
          <w:rFonts w:ascii="仿宋_GB2312" w:hAnsi="宋体" w:eastAsia="仿宋_GB2312" w:cs="宋体"/>
          <w:kern w:val="0"/>
          <w:sz w:val="32"/>
          <w:szCs w:val="32"/>
        </w:rPr>
        <w:t>。</w:t>
      </w:r>
    </w:p>
    <w:p w14:paraId="5CDB9BA2">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FZFSK--GBK1-0" w:hAnsi="FZFSK--GBK1-0"/>
          <w:color w:val="000000"/>
          <w:sz w:val="32"/>
          <w:szCs w:val="32"/>
        </w:rPr>
      </w:pPr>
      <w:r>
        <w:rPr>
          <w:rFonts w:hint="eastAsia" w:ascii="仿宋_GB2312" w:hAnsi="宋体" w:eastAsia="仿宋_GB2312" w:cs="宋体"/>
          <w:b/>
          <w:kern w:val="0"/>
          <w:sz w:val="32"/>
          <w:szCs w:val="32"/>
        </w:rPr>
        <w:t>2.</w:t>
      </w:r>
      <w:r>
        <w:rPr>
          <w:rFonts w:ascii="仿宋_GB2312" w:hAnsi="宋体" w:eastAsia="仿宋_GB2312" w:cs="宋体"/>
          <w:b/>
          <w:kern w:val="0"/>
          <w:sz w:val="32"/>
          <w:szCs w:val="32"/>
        </w:rPr>
        <w:t>行政诉讼</w:t>
      </w:r>
    </w:p>
    <w:p w14:paraId="5D3F4FC9">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宋体"/>
          <w:kern w:val="0"/>
          <w:sz w:val="32"/>
          <w:szCs w:val="32"/>
        </w:rPr>
      </w:pPr>
      <w:r>
        <w:rPr>
          <w:rFonts w:ascii="仿宋_GB2312" w:hAnsi="宋体" w:eastAsia="仿宋_GB2312" w:cs="宋体"/>
          <w:b/>
          <w:kern w:val="0"/>
          <w:sz w:val="32"/>
          <w:szCs w:val="32"/>
        </w:rPr>
        <w:t>未经复议直接起诉：</w:t>
      </w:r>
      <w:r>
        <w:rPr>
          <w:rFonts w:ascii="仿宋_GB2312" w:hAnsi="宋体" w:eastAsia="仿宋_GB2312" w:cs="宋体"/>
          <w:kern w:val="0"/>
          <w:sz w:val="32"/>
          <w:szCs w:val="32"/>
        </w:rPr>
        <w:t>参考“行政复议”。</w:t>
      </w:r>
    </w:p>
    <w:p w14:paraId="04DF571C">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FZFSK--GBK1-0" w:hAnsi="FZFSK--GBK1-0"/>
          <w:color w:val="000000"/>
          <w:sz w:val="32"/>
          <w:szCs w:val="32"/>
        </w:rPr>
      </w:pPr>
      <w:r>
        <w:rPr>
          <w:rFonts w:ascii="仿宋_GB2312" w:hAnsi="宋体" w:eastAsia="仿宋_GB2312" w:cs="宋体"/>
          <w:b/>
          <w:kern w:val="0"/>
          <w:sz w:val="32"/>
          <w:szCs w:val="32"/>
        </w:rPr>
        <w:t>复议后起诉：</w:t>
      </w:r>
      <w:r>
        <w:rPr>
          <w:rFonts w:ascii="仿宋_GB2312" w:hAnsi="宋体" w:eastAsia="仿宋_GB2312" w:cs="宋体"/>
          <w:kern w:val="0"/>
          <w:sz w:val="32"/>
          <w:szCs w:val="32"/>
        </w:rPr>
        <w:t>参考“行政复议”。</w:t>
      </w:r>
    </w:p>
    <w:p w14:paraId="0E9BFC6C">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FZKTK--GBK1-0" w:hAnsi="FZKTK--GBK1-0"/>
          <w:color w:val="000000"/>
          <w:sz w:val="32"/>
          <w:szCs w:val="32"/>
        </w:rPr>
      </w:pPr>
      <w:r>
        <w:rPr>
          <w:rFonts w:hint="eastAsia" w:ascii="楷体" w:hAnsi="楷体" w:eastAsia="楷体" w:cs="宋体"/>
          <w:b/>
          <w:kern w:val="0"/>
          <w:sz w:val="32"/>
          <w:szCs w:val="32"/>
        </w:rPr>
        <w:t>（二）</w:t>
      </w:r>
      <w:r>
        <w:rPr>
          <w:rFonts w:ascii="楷体" w:hAnsi="楷体" w:eastAsia="楷体" w:cs="宋体"/>
          <w:b/>
          <w:kern w:val="0"/>
          <w:sz w:val="32"/>
          <w:szCs w:val="32"/>
        </w:rPr>
        <w:t>注意事项</w:t>
      </w:r>
    </w:p>
    <w:p w14:paraId="603B6CC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FZFSK--GBK1-0" w:hAnsi="FZFSK--GBK1-0"/>
          <w:color w:val="000000"/>
          <w:sz w:val="32"/>
          <w:szCs w:val="32"/>
        </w:rPr>
      </w:pPr>
      <w:r>
        <w:rPr>
          <w:rFonts w:hint="eastAsia" w:ascii="仿宋_GB2312" w:hAnsi="宋体" w:eastAsia="仿宋_GB2312" w:cs="宋体"/>
          <w:kern w:val="0"/>
          <w:sz w:val="32"/>
          <w:szCs w:val="32"/>
        </w:rPr>
        <w:t>1.</w:t>
      </w:r>
      <w:r>
        <w:rPr>
          <w:rFonts w:ascii="仿宋_GB2312" w:hAnsi="宋体" w:eastAsia="仿宋_GB2312" w:cs="宋体"/>
          <w:kern w:val="0"/>
          <w:sz w:val="32"/>
          <w:szCs w:val="32"/>
        </w:rPr>
        <w:t>本表仅统计本机关因政府信息公开引发的行政复议和行政诉讼案件数量，不包括本机关其他具体行政行为引发的行政复议和行政诉讼案件（例如：某机关202</w:t>
      </w:r>
      <w:r>
        <w:rPr>
          <w:rFonts w:hint="eastAsia" w:ascii="仿宋_GB2312" w:hAnsi="宋体" w:eastAsia="仿宋_GB2312" w:cs="宋体"/>
          <w:kern w:val="0"/>
          <w:sz w:val="32"/>
          <w:szCs w:val="32"/>
          <w:lang w:val="en-US" w:eastAsia="zh-CN"/>
        </w:rPr>
        <w:t>1</w:t>
      </w:r>
      <w:r>
        <w:rPr>
          <w:rFonts w:ascii="仿宋_GB2312" w:hAnsi="宋体" w:eastAsia="仿宋_GB2312" w:cs="宋体"/>
          <w:kern w:val="0"/>
          <w:sz w:val="32"/>
          <w:szCs w:val="32"/>
        </w:rPr>
        <w:t>年收到50件行政复议通知书，其中20件为申请人对政府信息公开决定不服，另外30件为行政相对人对本机关作出的其他具体行政行为不服，则该机关202</w:t>
      </w:r>
      <w:r>
        <w:rPr>
          <w:rFonts w:hint="eastAsia" w:ascii="仿宋_GB2312" w:hAnsi="宋体" w:eastAsia="仿宋_GB2312" w:cs="宋体"/>
          <w:kern w:val="0"/>
          <w:sz w:val="32"/>
          <w:szCs w:val="32"/>
          <w:lang w:val="en-US" w:eastAsia="zh-CN"/>
        </w:rPr>
        <w:t>1</w:t>
      </w:r>
      <w:r>
        <w:rPr>
          <w:rFonts w:ascii="仿宋_GB2312" w:hAnsi="宋体" w:eastAsia="仿宋_GB2312" w:cs="宋体"/>
          <w:kern w:val="0"/>
          <w:sz w:val="32"/>
          <w:szCs w:val="32"/>
        </w:rPr>
        <w:t>年</w:t>
      </w:r>
      <w:r>
        <w:rPr>
          <w:rFonts w:hint="eastAsia" w:ascii="仿宋_GB2312" w:hAnsi="宋体" w:eastAsia="仿宋_GB2312" w:cs="宋体"/>
          <w:kern w:val="0"/>
          <w:sz w:val="32"/>
          <w:szCs w:val="32"/>
        </w:rPr>
        <w:t>政府</w:t>
      </w:r>
      <w:r>
        <w:rPr>
          <w:rFonts w:ascii="仿宋_GB2312" w:hAnsi="宋体" w:eastAsia="仿宋_GB2312" w:cs="宋体"/>
          <w:kern w:val="0"/>
          <w:sz w:val="32"/>
          <w:szCs w:val="32"/>
        </w:rPr>
        <w:t>信息公开年报行政复议“总计”栏应填“20”，不能填“50”，行政诉讼同理）。</w:t>
      </w:r>
    </w:p>
    <w:p w14:paraId="71F661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w:t>
      </w:r>
      <w:r>
        <w:rPr>
          <w:rFonts w:ascii="仿宋_GB2312" w:hAnsi="宋体" w:eastAsia="仿宋_GB2312" w:cs="宋体"/>
          <w:kern w:val="0"/>
          <w:sz w:val="32"/>
          <w:szCs w:val="32"/>
        </w:rPr>
        <w:t>统计的时间范围，以收到行政复议或者行政诉讼通知书的时间为准（例如：</w:t>
      </w:r>
      <w:r>
        <w:rPr>
          <w:rFonts w:hint="eastAsia" w:ascii="仿宋_GB2312" w:hAnsi="宋体" w:eastAsia="仿宋_GB2312" w:cs="宋体"/>
          <w:kern w:val="0"/>
          <w:sz w:val="32"/>
          <w:szCs w:val="32"/>
          <w:lang w:val="en-US" w:eastAsia="zh-CN"/>
        </w:rPr>
        <w:t>2020</w:t>
      </w:r>
      <w:r>
        <w:rPr>
          <w:rFonts w:ascii="仿宋_GB2312" w:hAnsi="宋体" w:eastAsia="仿宋_GB2312" w:cs="宋体"/>
          <w:kern w:val="0"/>
          <w:sz w:val="32"/>
          <w:szCs w:val="32"/>
        </w:rPr>
        <w:t>年作出的政府信息公开决定，申请人202</w:t>
      </w:r>
      <w:r>
        <w:rPr>
          <w:rFonts w:hint="eastAsia" w:ascii="仿宋_GB2312" w:hAnsi="宋体" w:eastAsia="仿宋_GB2312" w:cs="宋体"/>
          <w:kern w:val="0"/>
          <w:sz w:val="32"/>
          <w:szCs w:val="32"/>
          <w:lang w:val="en-US" w:eastAsia="zh-CN"/>
        </w:rPr>
        <w:t>1</w:t>
      </w:r>
      <w:r>
        <w:rPr>
          <w:rFonts w:ascii="仿宋_GB2312" w:hAnsi="宋体" w:eastAsia="仿宋_GB2312" w:cs="宋体"/>
          <w:kern w:val="0"/>
          <w:sz w:val="32"/>
          <w:szCs w:val="32"/>
        </w:rPr>
        <w:t>年才提出行政复议或者行政诉讼，则该案件纳入202</w:t>
      </w:r>
      <w:r>
        <w:rPr>
          <w:rFonts w:hint="eastAsia" w:ascii="仿宋_GB2312" w:hAnsi="宋体" w:eastAsia="仿宋_GB2312" w:cs="宋体"/>
          <w:kern w:val="0"/>
          <w:sz w:val="32"/>
          <w:szCs w:val="32"/>
          <w:lang w:val="en-US" w:eastAsia="zh-CN"/>
        </w:rPr>
        <w:t>1</w:t>
      </w:r>
      <w:r>
        <w:rPr>
          <w:rFonts w:ascii="仿宋_GB2312" w:hAnsi="宋体" w:eastAsia="仿宋_GB2312" w:cs="宋体"/>
          <w:kern w:val="0"/>
          <w:sz w:val="32"/>
          <w:szCs w:val="32"/>
        </w:rPr>
        <w:t>年信息公开年报的统计范围）。</w:t>
      </w:r>
    </w:p>
    <w:p w14:paraId="0C19A9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w:t>
      </w:r>
      <w:r>
        <w:rPr>
          <w:rFonts w:ascii="仿宋_GB2312" w:hAnsi="宋体" w:eastAsia="仿宋_GB2312" w:cs="宋体"/>
          <w:kern w:val="0"/>
          <w:sz w:val="32"/>
          <w:szCs w:val="32"/>
        </w:rPr>
        <w:t>行政复议机关作为共同被告的行政诉讼案件，纳入原行为主体的案件统计范围，不纳入行政复议机关的案件统计。</w:t>
      </w:r>
    </w:p>
    <w:p w14:paraId="433BDEA2">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黑体" w:hAnsi="黑体" w:eastAsia="黑体" w:cs="宋体"/>
          <w:sz w:val="32"/>
          <w:szCs w:val="32"/>
        </w:rPr>
      </w:pPr>
      <w:r>
        <w:rPr>
          <w:rFonts w:hint="eastAsia" w:ascii="黑体" w:hAnsi="黑体" w:eastAsia="黑体" w:cs="宋体"/>
          <w:sz w:val="32"/>
          <w:szCs w:val="32"/>
        </w:rPr>
        <w:t>五、存在的主要问题及改进情况</w:t>
      </w:r>
    </w:p>
    <w:p w14:paraId="43929BFC">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sz w:val="32"/>
          <w:szCs w:val="32"/>
        </w:rPr>
      </w:pPr>
      <w:r>
        <w:rPr>
          <w:rFonts w:hint="eastAsia" w:ascii="仿宋_GB2312" w:hAnsi="宋体" w:eastAsia="仿宋_GB2312" w:cs="宋体"/>
          <w:sz w:val="32"/>
          <w:szCs w:val="32"/>
        </w:rPr>
        <w:t>该部分采用文字描述。</w:t>
      </w:r>
    </w:p>
    <w:p w14:paraId="56BABD0A">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sz w:val="32"/>
          <w:szCs w:val="32"/>
        </w:rPr>
      </w:pPr>
      <w:r>
        <w:rPr>
          <w:rFonts w:hint="eastAsia" w:ascii="仿宋_GB2312" w:hAnsi="宋体" w:eastAsia="仿宋_GB2312" w:cs="宋体"/>
          <w:sz w:val="32"/>
          <w:szCs w:val="32"/>
        </w:rPr>
        <w:t>这一项主要报告本机关年度政府信息公开工作中存在的主要问题及改进情况。此项内容重在实事求是、明确具体，避免笼统模糊、泛泛而谈。查找问题要有针对性，改进举措要有实效性，不得出现敷衍了事甚至年年雷同现象。</w:t>
      </w:r>
    </w:p>
    <w:p w14:paraId="104D6CCC">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黑体" w:hAnsi="黑体" w:eastAsia="黑体" w:cs="宋体"/>
          <w:sz w:val="32"/>
          <w:szCs w:val="32"/>
        </w:rPr>
      </w:pPr>
      <w:r>
        <w:rPr>
          <w:rFonts w:hint="eastAsia" w:ascii="黑体" w:hAnsi="黑体" w:eastAsia="黑体" w:cs="宋体"/>
          <w:sz w:val="32"/>
          <w:szCs w:val="32"/>
        </w:rPr>
        <w:t>六、其他需要报告的事项</w:t>
      </w:r>
    </w:p>
    <w:p w14:paraId="7D5D6B5C">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sz w:val="32"/>
          <w:szCs w:val="32"/>
        </w:rPr>
      </w:pPr>
      <w:r>
        <w:rPr>
          <w:rFonts w:hint="eastAsia" w:ascii="仿宋_GB2312" w:hAnsi="宋体" w:eastAsia="仿宋_GB2312" w:cs="宋体"/>
          <w:sz w:val="32"/>
          <w:szCs w:val="32"/>
        </w:rPr>
        <w:t>该部分采用文字描述。</w:t>
      </w:r>
    </w:p>
    <w:p w14:paraId="6D94A764">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宋体"/>
          <w:sz w:val="32"/>
          <w:szCs w:val="32"/>
        </w:rPr>
      </w:pPr>
      <w:r>
        <w:rPr>
          <w:rFonts w:hint="eastAsia" w:ascii="仿宋_GB2312" w:hAnsi="宋体" w:eastAsia="仿宋_GB2312" w:cs="宋体"/>
          <w:sz w:val="32"/>
          <w:szCs w:val="32"/>
        </w:rPr>
        <w:t>这一项主要报告本机关认为需要报告的其他事项，以及其他有关文件专门要求通过政府信息公开工作年度报告予以报告的事项。</w:t>
      </w:r>
    </w:p>
    <w:p w14:paraId="45BE3CB5">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r>
        <w:rPr>
          <w:rFonts w:hint="eastAsia" w:ascii="仿宋_GB2312" w:hAnsi="宋体" w:eastAsia="仿宋_GB2312" w:cs="宋体"/>
          <w:sz w:val="32"/>
          <w:szCs w:val="32"/>
          <w:lang w:eastAsia="zh-CN"/>
        </w:rPr>
        <w:t>各行政机关依据《政府信息公开信息处理费管理办法》收取信息处理费的情况，在此处专门报告。</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FZFSK--GBK1-0">
    <w:altName w:val="hakuyoxingshu7000"/>
    <w:panose1 w:val="00000000000000000000"/>
    <w:charset w:val="00"/>
    <w:family w:val="roman"/>
    <w:pitch w:val="default"/>
    <w:sig w:usb0="00000000" w:usb1="00000000" w:usb2="00000000" w:usb3="00000000" w:csb0="00040001" w:csb1="00000000"/>
  </w:font>
  <w:font w:name="FZKTK--GBK1-0">
    <w:altName w:val="hakuyoxingshu7000"/>
    <w:panose1 w:val="00000000000000000000"/>
    <w:charset w:val="00"/>
    <w:family w:val="roman"/>
    <w:pitch w:val="default"/>
    <w:sig w:usb0="00000000" w:usb1="00000000" w:usb2="00000000" w:usb3="00000000" w:csb0="00040001" w:csb1="00000000"/>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4E1D4">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7EFAD">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67EFAD">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92B1F">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523FB">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C19BC">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8648A">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51170">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4ZjUxYWRhM2Y0OTk5MzI2NDBhMGZjZTY2M2JkM2YifQ=="/>
  </w:docVars>
  <w:rsids>
    <w:rsidRoot w:val="1A5811E8"/>
    <w:rsid w:val="0158167D"/>
    <w:rsid w:val="1A5811E8"/>
    <w:rsid w:val="1AD31D3E"/>
    <w:rsid w:val="1D623DC5"/>
    <w:rsid w:val="1F2549A5"/>
    <w:rsid w:val="2D5D7EB2"/>
    <w:rsid w:val="317B3907"/>
    <w:rsid w:val="3677705B"/>
    <w:rsid w:val="3E28404F"/>
    <w:rsid w:val="60E23AF9"/>
    <w:rsid w:val="63772494"/>
    <w:rsid w:val="7542133C"/>
    <w:rsid w:val="75A063DE"/>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4764</Words>
  <Characters>4902</Characters>
  <Lines>0</Lines>
  <Paragraphs>0</Paragraphs>
  <TotalTime>25</TotalTime>
  <ScaleCrop>false</ScaleCrop>
  <LinksUpToDate>false</LinksUpToDate>
  <CharactersWithSpaces>5313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Administrator</cp:lastModifiedBy>
  <dcterms:modified xsi:type="dcterms:W3CDTF">2024-07-31T08:59:12Z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2E9398FEA892430ABA07FC2258326D51</vt:lpwstr>
  </property>
</Properties>
</file>