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right="0"/>
        <w:jc w:val="center"/>
        <w:rPr>
          <w:rStyle w:val="5"/>
          <w:rFonts w:hint="eastAsia" w:ascii="方正小标宋简体" w:hAnsi="方正小标宋简体" w:eastAsia="方正小标宋简体" w:cs="方正小标宋简体"/>
          <w:i w:val="0"/>
          <w:iCs w:val="0"/>
          <w:caps w:val="0"/>
          <w:color w:val="auto"/>
          <w:spacing w:val="0"/>
          <w:sz w:val="44"/>
          <w:szCs w:val="44"/>
          <w:u w:val="none"/>
          <w:shd w:val="clear" w:fill="FFFFFF"/>
        </w:rPr>
      </w:pPr>
      <w:r>
        <w:rPr>
          <w:rFonts w:hint="eastAsia" w:ascii="方正小标宋简体" w:hAnsi="方正小标宋简体" w:eastAsia="方正小标宋简体" w:cs="方正小标宋简体"/>
          <w:i w:val="0"/>
          <w:iCs w:val="0"/>
          <w:caps w:val="0"/>
          <w:color w:val="auto"/>
          <w:spacing w:val="0"/>
          <w:sz w:val="44"/>
          <w:szCs w:val="44"/>
          <w:u w:val="none"/>
          <w:shd w:val="clear" w:fill="FFFFFF"/>
          <w:lang w:eastAsia="zh-CN"/>
        </w:rPr>
        <w:t>高</w:t>
      </w:r>
      <w:r>
        <w:rPr>
          <w:rFonts w:hint="eastAsia" w:ascii="方正小标宋简体" w:hAnsi="方正小标宋简体" w:eastAsia="方正小标宋简体" w:cs="方正小标宋简体"/>
          <w:i w:val="0"/>
          <w:iCs w:val="0"/>
          <w:caps w:val="0"/>
          <w:color w:val="auto"/>
          <w:spacing w:val="0"/>
          <w:sz w:val="44"/>
          <w:szCs w:val="44"/>
          <w:u w:val="none"/>
          <w:shd w:val="clear" w:fill="FFFFFF"/>
        </w:rPr>
        <w:fldChar w:fldCharType="begin"/>
      </w:r>
      <w:r>
        <w:rPr>
          <w:rFonts w:hint="eastAsia" w:ascii="方正小标宋简体" w:hAnsi="方正小标宋简体" w:eastAsia="方正小标宋简体" w:cs="方正小标宋简体"/>
          <w:i w:val="0"/>
          <w:iCs w:val="0"/>
          <w:caps w:val="0"/>
          <w:color w:val="auto"/>
          <w:spacing w:val="0"/>
          <w:sz w:val="44"/>
          <w:szCs w:val="44"/>
          <w:u w:val="none"/>
          <w:shd w:val="clear" w:fill="FFFFFF"/>
        </w:rPr>
        <w:instrText xml:space="preserve"> HYPERLINK "http://www.gaoan.gov.cn/gasrmzf/czjxxgknbtv/202101/95cc750369534bcb8e3cb88e2818a1ee/files/A3D9EA34D62C2CF5E608AC08929F4F4D.doc" \t "http://www.gaoan.gov.cn/gasrmzf/czjxxgknbtv/202101/_blank" </w:instrText>
      </w:r>
      <w:r>
        <w:rPr>
          <w:rFonts w:hint="eastAsia" w:ascii="方正小标宋简体" w:hAnsi="方正小标宋简体" w:eastAsia="方正小标宋简体" w:cs="方正小标宋简体"/>
          <w:i w:val="0"/>
          <w:iCs w:val="0"/>
          <w:caps w:val="0"/>
          <w:color w:val="auto"/>
          <w:spacing w:val="0"/>
          <w:sz w:val="44"/>
          <w:szCs w:val="44"/>
          <w:u w:val="none"/>
          <w:shd w:val="clear" w:fill="FFFFFF"/>
        </w:rPr>
        <w:fldChar w:fldCharType="separate"/>
      </w:r>
      <w:r>
        <w:rPr>
          <w:rStyle w:val="5"/>
          <w:rFonts w:hint="eastAsia" w:ascii="方正小标宋简体" w:hAnsi="方正小标宋简体" w:eastAsia="方正小标宋简体" w:cs="方正小标宋简体"/>
          <w:i w:val="0"/>
          <w:iCs w:val="0"/>
          <w:caps w:val="0"/>
          <w:color w:val="auto"/>
          <w:spacing w:val="0"/>
          <w:sz w:val="44"/>
          <w:szCs w:val="44"/>
          <w:u w:val="none"/>
          <w:shd w:val="clear" w:fill="FFFFFF"/>
        </w:rPr>
        <w:t>安市行政服务中心2020年政府信息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right="0"/>
        <w:jc w:val="center"/>
        <w:rPr>
          <w:rFonts w:hint="eastAsia" w:ascii="方正小标宋简体" w:hAnsi="方正小标宋简体" w:eastAsia="方正小标宋简体" w:cs="方正小标宋简体"/>
          <w:b w:val="0"/>
          <w:bCs w:val="0"/>
          <w:i w:val="0"/>
          <w:iCs w:val="0"/>
          <w:caps w:val="0"/>
          <w:color w:val="auto"/>
          <w:spacing w:val="0"/>
          <w:kern w:val="0"/>
          <w:sz w:val="44"/>
          <w:szCs w:val="44"/>
          <w:shd w:val="clear" w:fill="FFFFFF"/>
          <w:lang w:val="en-US" w:eastAsia="zh-CN" w:bidi="ar"/>
        </w:rPr>
      </w:pPr>
      <w:r>
        <w:rPr>
          <w:rStyle w:val="5"/>
          <w:rFonts w:hint="eastAsia" w:ascii="方正小标宋简体" w:hAnsi="方正小标宋简体" w:eastAsia="方正小标宋简体" w:cs="方正小标宋简体"/>
          <w:i w:val="0"/>
          <w:iCs w:val="0"/>
          <w:caps w:val="0"/>
          <w:color w:val="auto"/>
          <w:spacing w:val="0"/>
          <w:sz w:val="44"/>
          <w:szCs w:val="44"/>
          <w:u w:val="none"/>
          <w:shd w:val="clear" w:fill="FFFFFF"/>
        </w:rPr>
        <w:t>公开工作年度报告</w:t>
      </w:r>
      <w:r>
        <w:rPr>
          <w:rFonts w:hint="eastAsia" w:ascii="方正小标宋简体" w:hAnsi="方正小标宋简体" w:eastAsia="方正小标宋简体" w:cs="方正小标宋简体"/>
          <w:i w:val="0"/>
          <w:iCs w:val="0"/>
          <w:caps w:val="0"/>
          <w:color w:val="auto"/>
          <w:spacing w:val="0"/>
          <w:sz w:val="44"/>
          <w:szCs w:val="44"/>
          <w:u w:val="none"/>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ascii="微软雅黑" w:hAnsi="微软雅黑" w:eastAsia="微软雅黑" w:cs="微软雅黑"/>
          <w:i w:val="0"/>
          <w:iCs w:val="0"/>
          <w:caps w:val="0"/>
          <w:color w:val="000000"/>
          <w:spacing w:val="0"/>
          <w:sz w:val="26"/>
          <w:szCs w:val="26"/>
        </w:rPr>
      </w:pPr>
      <w:r>
        <w:rPr>
          <w:rFonts w:ascii="仿宋" w:hAnsi="仿宋" w:eastAsia="仿宋" w:cs="仿宋"/>
          <w:b w:val="0"/>
          <w:bCs w:val="0"/>
          <w:i w:val="0"/>
          <w:iCs w:val="0"/>
          <w:caps w:val="0"/>
          <w:color w:val="000000"/>
          <w:spacing w:val="0"/>
          <w:kern w:val="0"/>
          <w:sz w:val="32"/>
          <w:szCs w:val="32"/>
          <w:shd w:val="clear" w:fill="FFFFFF"/>
          <w:lang w:val="en-US" w:eastAsia="zh-CN" w:bidi="ar"/>
        </w:rPr>
        <w:t>本报告依据《中华人民共和国政府信息公开条例》（国务院令第</w:t>
      </w:r>
      <w:r>
        <w:rPr>
          <w:rFonts w:hint="eastAsia" w:ascii="仿宋" w:hAnsi="仿宋" w:eastAsia="仿宋" w:cs="仿宋"/>
          <w:b w:val="0"/>
          <w:bCs w:val="0"/>
          <w:i w:val="0"/>
          <w:iCs w:val="0"/>
          <w:caps w:val="0"/>
          <w:color w:val="000000"/>
          <w:spacing w:val="0"/>
          <w:kern w:val="0"/>
          <w:sz w:val="32"/>
          <w:szCs w:val="32"/>
          <w:shd w:val="clear" w:fill="FFFFFF"/>
          <w:lang w:val="en-US" w:eastAsia="zh-CN" w:bidi="ar"/>
        </w:rPr>
        <w:t>711号，以下简称新《条例》）和《国务院办公厅政府信息与政务公开办公室关于政府信息公开工作年度报告有关事项的通知》（国办公开办函〔2019〕60号）要求，由我委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下载。如对本报告有任何疑问，请与高安市行政服务中心管委会联系（地址：高安市锦惠中路376号行政服务中心，电话：0795-5282969，邮编：330800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ascii="黑体" w:hAnsi="宋体" w:eastAsia="黑体" w:cs="黑体"/>
          <w:b w:val="0"/>
          <w:bCs w:val="0"/>
          <w:i w:val="0"/>
          <w:iCs w:val="0"/>
          <w:caps w:val="0"/>
          <w:color w:val="000000"/>
          <w:spacing w:val="0"/>
          <w:kern w:val="0"/>
          <w:sz w:val="32"/>
          <w:szCs w:val="32"/>
          <w:shd w:val="clear" w:fill="FFFFFF"/>
          <w:lang w:val="en-US" w:eastAsia="zh-CN" w:bidi="ar"/>
        </w:rPr>
        <w:t>一、总体情况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2020年我委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积极明确任务目标，紧紧围绕省委、省政府中心工作及社会群众关注关切，着力提升政府信息公开质量，推进拓宽政府信息公开渠道，不断增强政府信息公开实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ascii="楷体" w:hAnsi="楷体" w:eastAsia="楷体" w:cs="楷体"/>
          <w:b w:val="0"/>
          <w:bCs w:val="0"/>
          <w:i w:val="0"/>
          <w:iCs w:val="0"/>
          <w:caps w:val="0"/>
          <w:color w:val="000000"/>
          <w:spacing w:val="0"/>
          <w:kern w:val="0"/>
          <w:sz w:val="32"/>
          <w:szCs w:val="32"/>
          <w:shd w:val="clear" w:fill="FFFFFF"/>
          <w:lang w:val="en-US" w:eastAsia="zh-CN" w:bidi="ar"/>
        </w:rPr>
        <w:t>（一）主动公开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2020年，我委重新梳理了主动公开服务事项，公开信息总数为134条，主要是我委机构简介、发展规划、工作动态、财政信息、信息公开年度报告、政府采购意向等内容。可通过高安市政府门户网站的“政府信息公开”栏目和“高安市中介超市网”查询我单位主动公开的2020年政府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楷体" w:hAnsi="楷体" w:eastAsia="楷体" w:cs="楷体"/>
          <w:b w:val="0"/>
          <w:bCs w:val="0"/>
          <w:i w:val="0"/>
          <w:iCs w:val="0"/>
          <w:caps w:val="0"/>
          <w:color w:val="000000"/>
          <w:spacing w:val="0"/>
          <w:kern w:val="0"/>
          <w:sz w:val="32"/>
          <w:szCs w:val="32"/>
          <w:shd w:val="clear" w:fill="FFFFFF"/>
          <w:lang w:val="en-US" w:eastAsia="zh-CN" w:bidi="ar"/>
        </w:rPr>
        <w:t>（二）依申请公开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根据新《条例》和我市依申请公开制度相关规定，行政服务中心管委会明确依申请公开的职责、程序、公开方式和时限要求，落实专人负责信息公开申请收集与回复，申请指南及申请渠道均在平台发布，服务咨询电话保障接听、保障受理。2020年度依申请公开信息2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楷体" w:hAnsi="楷体" w:eastAsia="楷体" w:cs="楷体"/>
          <w:b w:val="0"/>
          <w:bCs w:val="0"/>
          <w:i w:val="0"/>
          <w:iCs w:val="0"/>
          <w:caps w:val="0"/>
          <w:color w:val="000000"/>
          <w:spacing w:val="0"/>
          <w:kern w:val="0"/>
          <w:sz w:val="32"/>
          <w:szCs w:val="32"/>
          <w:shd w:val="clear" w:fill="FFFFFF"/>
          <w:lang w:val="en-US" w:eastAsia="zh-CN" w:bidi="ar"/>
        </w:rPr>
        <w:t>（三）政府信息管理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1.规范化标准化建设。健全组织机构，坚持政务公开一把手负责制，管委会主任任政务公开领导小组组长，分管领导为副组长，各股室负责人为组员，具体工作由综合办公室牵头，各股室具体落实，建立了齐抓共管、狠抓落实的政务公开工作领导格局。2.数字化管理。加大数据公开力度及保证数据的准确性、时效性、真实性。3.规范信息审核发布机制。需要公开的政府信息，一律先经副组长以上的领导签字同意后才公开。4.规范性文件清理。我委2020年规范性文件清理为9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楷体" w:hAnsi="楷体" w:eastAsia="楷体" w:cs="楷体"/>
          <w:b w:val="0"/>
          <w:bCs w:val="0"/>
          <w:i w:val="0"/>
          <w:iCs w:val="0"/>
          <w:caps w:val="0"/>
          <w:color w:val="000000"/>
          <w:spacing w:val="0"/>
          <w:kern w:val="0"/>
          <w:sz w:val="32"/>
          <w:szCs w:val="32"/>
          <w:shd w:val="clear" w:fill="FFFFFF"/>
          <w:lang w:val="en-US" w:eastAsia="zh-CN" w:bidi="ar"/>
        </w:rPr>
        <w:t>（四）平台建设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行政服务中心管委会政府公开信息规定由“高安市人民政府网”“高安市中介超市网”进行公开，确保政府公开信息的时效性、准确性。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楷体" w:hAnsi="楷体" w:eastAsia="楷体" w:cs="楷体"/>
          <w:b w:val="0"/>
          <w:bCs w:val="0"/>
          <w:i w:val="0"/>
          <w:iCs w:val="0"/>
          <w:caps w:val="0"/>
          <w:color w:val="000000"/>
          <w:spacing w:val="0"/>
          <w:kern w:val="0"/>
          <w:sz w:val="32"/>
          <w:szCs w:val="32"/>
          <w:shd w:val="clear" w:fill="FFFFFF"/>
          <w:lang w:val="en-US" w:eastAsia="zh-CN" w:bidi="ar"/>
        </w:rPr>
        <w:t>（五）监督保障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仿宋" w:hAnsi="仿宋" w:eastAsia="仿宋" w:cs="仿宋"/>
          <w:b w:val="0"/>
          <w:bCs w:val="0"/>
          <w:i w:val="0"/>
          <w:iCs w:val="0"/>
          <w:caps w:val="0"/>
          <w:color w:val="000000"/>
          <w:spacing w:val="0"/>
          <w:kern w:val="0"/>
          <w:sz w:val="32"/>
          <w:szCs w:val="32"/>
          <w:shd w:val="clear" w:fill="FFFFFF"/>
          <w:lang w:val="en-US" w:eastAsia="zh-CN" w:bidi="ar"/>
        </w:rPr>
      </w:pPr>
      <w:r>
        <w:rPr>
          <w:rFonts w:hint="eastAsia" w:ascii="仿宋" w:hAnsi="仿宋" w:eastAsia="仿宋" w:cs="仿宋"/>
          <w:b w:val="0"/>
          <w:bCs w:val="0"/>
          <w:i w:val="0"/>
          <w:iCs w:val="0"/>
          <w:caps w:val="0"/>
          <w:color w:val="000000"/>
          <w:spacing w:val="0"/>
          <w:kern w:val="0"/>
          <w:sz w:val="32"/>
          <w:szCs w:val="32"/>
          <w:shd w:val="clear" w:fill="FFFFFF"/>
          <w:lang w:val="en-US" w:eastAsia="zh-CN" w:bidi="ar"/>
        </w:rPr>
        <w:t>在政府信息公开网上平台上，我委不断加强日常监督保障机制，凡拟上网公开的信息均由主要领导进行信息审核，相关人员再进行信息发布，确保信息及时、准确地发布到网站上。建立管委会信息公开部门负责人保密公开首责制度。</w:t>
      </w:r>
      <w:bookmarkStart w:id="0" w:name="_GoBack"/>
      <w:bookmarkEnd w:id="0"/>
      <w:r>
        <w:rPr>
          <w:rFonts w:hint="eastAsia" w:ascii="仿宋" w:hAnsi="仿宋" w:eastAsia="仿宋" w:cs="仿宋"/>
          <w:b w:val="0"/>
          <w:bCs w:val="0"/>
          <w:i w:val="0"/>
          <w:iCs w:val="0"/>
          <w:caps w:val="0"/>
          <w:color w:val="000000"/>
          <w:spacing w:val="0"/>
          <w:kern w:val="0"/>
          <w:sz w:val="32"/>
          <w:szCs w:val="32"/>
          <w:shd w:val="clear" w:fill="FFFFFF"/>
          <w:lang w:val="en-US" w:eastAsia="zh-CN" w:bidi="ar"/>
        </w:rPr>
        <w:t>并且我委非常重视信息公开工作考核和社会评议工作，根据下发的考核任务，明确信息公开部门任务，定期督促业务科室进行信息收集、整理、校对。在应对社会评议方面，采取积极态度，确保对外公开的信息，有迹可寻、有政策支持、有数据支撑，有应对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40"/>
        <w:jc w:val="left"/>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二、主动公开政府信息情况</w:t>
      </w:r>
    </w:p>
    <w:tbl>
      <w:tblPr>
        <w:tblStyle w:val="3"/>
        <w:tblW w:w="848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704"/>
        <w:gridCol w:w="2460"/>
        <w:gridCol w:w="2025"/>
        <w:gridCol w:w="22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8484"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ascii="仿宋_GB2312" w:eastAsia="仿宋_GB2312" w:cs="仿宋_GB2312" w:hAnsiTheme="minorHAnsi"/>
                <w:kern w:val="0"/>
                <w:sz w:val="24"/>
                <w:szCs w:val="24"/>
                <w:lang w:val="en-US" w:eastAsia="zh-CN" w:bidi="ar"/>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kern w:val="0"/>
                <w:sz w:val="24"/>
                <w:szCs w:val="24"/>
                <w:lang w:val="en-US" w:eastAsia="zh-CN" w:bidi="ar"/>
              </w:rPr>
              <w:t>信息内容</w:t>
            </w:r>
          </w:p>
        </w:tc>
        <w:tc>
          <w:tcPr>
            <w:tcW w:w="24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kern w:val="0"/>
                <w:sz w:val="24"/>
                <w:szCs w:val="24"/>
                <w:lang w:val="en-US" w:eastAsia="zh-CN" w:bidi="ar"/>
              </w:rPr>
              <w:t>本年新制作数量</w:t>
            </w:r>
          </w:p>
        </w:tc>
        <w:tc>
          <w:tcPr>
            <w:tcW w:w="202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kern w:val="0"/>
                <w:sz w:val="24"/>
                <w:szCs w:val="24"/>
                <w:lang w:val="en-US" w:eastAsia="zh-CN" w:bidi="ar"/>
              </w:rPr>
              <w:t>本年新公开数量</w:t>
            </w:r>
          </w:p>
        </w:tc>
        <w:tc>
          <w:tcPr>
            <w:tcW w:w="229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kern w:val="0"/>
                <w:sz w:val="24"/>
                <w:szCs w:val="24"/>
                <w:lang w:val="en-US" w:eastAsia="zh-CN" w:bidi="ar"/>
              </w:rPr>
              <w:t>对外公开总数量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规    章</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570" w:hRule="atLeast"/>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规范性文件（本单位制发的）</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14</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14</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484"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jc w:val="center"/>
            </w:pPr>
            <w:r>
              <w:rPr>
                <w:rFonts w:hint="eastAsia" w:ascii="仿宋_GB2312" w:eastAsia="仿宋_GB2312" w:cs="仿宋_GB2312" w:hAnsiTheme="minorHAnsi"/>
                <w:color w:val="000000"/>
                <w:kern w:val="0"/>
                <w:sz w:val="24"/>
                <w:szCs w:val="24"/>
                <w:lang w:val="en-US" w:eastAsia="zh-CN" w:bidi="ar"/>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信息内容</w:t>
            </w:r>
          </w:p>
        </w:tc>
        <w:tc>
          <w:tcPr>
            <w:tcW w:w="24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上一年项目数量</w:t>
            </w:r>
          </w:p>
        </w:tc>
        <w:tc>
          <w:tcPr>
            <w:tcW w:w="202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本年增/减</w:t>
            </w:r>
          </w:p>
        </w:tc>
        <w:tc>
          <w:tcPr>
            <w:tcW w:w="229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行政许可</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jc w:val="center"/>
            </w:pPr>
            <w:r>
              <w:rPr>
                <w:rFonts w:hint="eastAsia" w:ascii="仿宋_GB2312" w:eastAsia="仿宋_GB2312" w:cs="仿宋_GB2312" w:hAnsiTheme="minorHAnsi"/>
                <w:color w:val="000000"/>
                <w:kern w:val="0"/>
                <w:sz w:val="24"/>
                <w:szCs w:val="24"/>
                <w:lang w:val="en-US" w:eastAsia="zh-CN" w:bidi="ar"/>
              </w:rPr>
              <w:t>其他对外管理服务事项</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484"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jc w:val="center"/>
            </w:pPr>
            <w:r>
              <w:rPr>
                <w:rFonts w:hint="eastAsia" w:ascii="仿宋_GB2312" w:eastAsia="仿宋_GB2312" w:cs="仿宋_GB2312" w:hAnsiTheme="minorHAnsi"/>
                <w:color w:val="000000"/>
                <w:kern w:val="0"/>
                <w:sz w:val="24"/>
                <w:szCs w:val="24"/>
                <w:lang w:val="en-US" w:eastAsia="zh-CN" w:bidi="ar"/>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信息内容</w:t>
            </w:r>
          </w:p>
        </w:tc>
        <w:tc>
          <w:tcPr>
            <w:tcW w:w="24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上一年项目数量</w:t>
            </w:r>
          </w:p>
        </w:tc>
        <w:tc>
          <w:tcPr>
            <w:tcW w:w="202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本年增/减</w:t>
            </w:r>
          </w:p>
        </w:tc>
        <w:tc>
          <w:tcPr>
            <w:tcW w:w="229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行政处罚</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增</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行政强制</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0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22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1" w:hRule="atLeast"/>
          <w:jc w:val="center"/>
        </w:trPr>
        <w:tc>
          <w:tcPr>
            <w:tcW w:w="8484"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jc w:val="center"/>
            </w:pPr>
            <w:r>
              <w:rPr>
                <w:rFonts w:hint="eastAsia" w:ascii="仿宋_GB2312" w:eastAsia="仿宋_GB2312" w:cs="仿宋_GB2312" w:hAnsiTheme="minorHAnsi"/>
                <w:color w:val="000000"/>
                <w:kern w:val="0"/>
                <w:sz w:val="24"/>
                <w:szCs w:val="24"/>
                <w:lang w:val="en-US" w:eastAsia="zh-CN" w:bidi="ar"/>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信息内容</w:t>
            </w:r>
          </w:p>
        </w:tc>
        <w:tc>
          <w:tcPr>
            <w:tcW w:w="24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上一年项目数量</w:t>
            </w:r>
          </w:p>
        </w:tc>
        <w:tc>
          <w:tcPr>
            <w:tcW w:w="4320"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本年增/减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行政事业性收费</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c>
          <w:tcPr>
            <w:tcW w:w="4320"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484"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jc w:val="center"/>
            </w:pPr>
            <w:r>
              <w:rPr>
                <w:rFonts w:hint="eastAsia" w:ascii="仿宋_GB2312" w:eastAsia="仿宋_GB2312" w:cs="仿宋_GB2312" w:hAnsiTheme="minorHAnsi"/>
                <w:color w:val="000000"/>
                <w:kern w:val="0"/>
                <w:sz w:val="24"/>
                <w:szCs w:val="24"/>
                <w:lang w:val="en-US" w:eastAsia="zh-CN" w:bidi="ar"/>
              </w:rPr>
              <w:t>第二十条第（九）项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信息内容</w:t>
            </w:r>
          </w:p>
        </w:tc>
        <w:tc>
          <w:tcPr>
            <w:tcW w:w="24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采购项目数量</w:t>
            </w:r>
          </w:p>
        </w:tc>
        <w:tc>
          <w:tcPr>
            <w:tcW w:w="4320"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采购总金额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政府集中采购</w:t>
            </w:r>
          </w:p>
        </w:tc>
        <w:tc>
          <w:tcPr>
            <w:tcW w:w="24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3</w:t>
            </w:r>
          </w:p>
        </w:tc>
        <w:tc>
          <w:tcPr>
            <w:tcW w:w="4320"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46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557.33万元</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40" w:lineRule="atLeast"/>
        <w:ind w:right="0" w:firstLine="640"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三、收到和处理政府信息公开申请情况</w:t>
      </w:r>
    </w:p>
    <w:tbl>
      <w:tblPr>
        <w:tblStyle w:val="3"/>
        <w:tblW w:w="8653"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181"/>
        <w:gridCol w:w="1053"/>
        <w:gridCol w:w="1134"/>
        <w:gridCol w:w="734"/>
        <w:gridCol w:w="682"/>
        <w:gridCol w:w="1079"/>
        <w:gridCol w:w="989"/>
        <w:gridCol w:w="80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2181"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本列数据的勾稽关系为：第一项加第二项之和，等于第三项加第四项之和</w:t>
            </w:r>
          </w:p>
        </w:tc>
        <w:tc>
          <w:tcPr>
            <w:tcW w:w="6472" w:type="dxa"/>
            <w:gridSpan w:val="7"/>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自然人</w:t>
            </w:r>
          </w:p>
        </w:tc>
        <w:tc>
          <w:tcPr>
            <w:tcW w:w="461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法人或其他组织</w:t>
            </w:r>
          </w:p>
        </w:tc>
        <w:tc>
          <w:tcPr>
            <w:tcW w:w="801"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255" w:hRule="atLeast"/>
          <w:jc w:val="center"/>
        </w:trPr>
        <w:tc>
          <w:tcPr>
            <w:tcW w:w="2181"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商业企业</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机构</w:t>
            </w:r>
          </w:p>
        </w:tc>
        <w:tc>
          <w:tcPr>
            <w:tcW w:w="682"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社会公益组织</w:t>
            </w:r>
          </w:p>
        </w:tc>
        <w:tc>
          <w:tcPr>
            <w:tcW w:w="1079"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法律服务机构</w:t>
            </w:r>
          </w:p>
        </w:tc>
        <w:tc>
          <w:tcPr>
            <w:tcW w:w="989"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其他</w:t>
            </w:r>
          </w:p>
        </w:tc>
        <w:tc>
          <w:tcPr>
            <w:tcW w:w="801"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b/>
                <w:bCs/>
                <w:color w:val="000000"/>
                <w:kern w:val="0"/>
                <w:sz w:val="24"/>
                <w:szCs w:val="24"/>
                <w:lang w:val="en-US" w:eastAsia="zh-CN" w:bidi="ar"/>
              </w:rPr>
              <w:t>一</w:t>
            </w:r>
            <w:r>
              <w:rPr>
                <w:rFonts w:hint="eastAsia" w:ascii="仿宋_GB2312" w:eastAsia="仿宋_GB2312" w:cs="仿宋_GB2312" w:hAnsiTheme="minorHAnsi"/>
                <w:color w:val="000000"/>
                <w:kern w:val="0"/>
                <w:sz w:val="24"/>
                <w:szCs w:val="24"/>
                <w:lang w:val="en-US" w:eastAsia="zh-CN" w:bidi="ar"/>
              </w:rPr>
              <w:t>、本年新收政府信息公开申请数量</w:t>
            </w:r>
          </w:p>
        </w:tc>
        <w:tc>
          <w:tcPr>
            <w:tcW w:w="105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b/>
                <w:bCs/>
                <w:color w:val="000000"/>
                <w:kern w:val="0"/>
                <w:sz w:val="24"/>
                <w:szCs w:val="24"/>
                <w:lang w:val="en-US" w:eastAsia="zh-CN" w:bidi="ar"/>
              </w:rPr>
              <w:t>二</w:t>
            </w:r>
            <w:r>
              <w:rPr>
                <w:rFonts w:hint="eastAsia" w:ascii="仿宋_GB2312" w:eastAsia="仿宋_GB2312" w:cs="仿宋_GB2312" w:hAnsiTheme="minorHAnsi"/>
                <w:color w:val="000000"/>
                <w:kern w:val="0"/>
                <w:sz w:val="24"/>
                <w:szCs w:val="24"/>
                <w:lang w:val="en-US" w:eastAsia="zh-CN" w:bidi="ar"/>
              </w:rPr>
              <w:t>、上年结转政府信息公开申请数量</w:t>
            </w:r>
          </w:p>
        </w:tc>
        <w:tc>
          <w:tcPr>
            <w:tcW w:w="1053"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b/>
                <w:bCs/>
                <w:color w:val="000000"/>
                <w:kern w:val="0"/>
                <w:sz w:val="24"/>
                <w:szCs w:val="24"/>
                <w:lang w:val="en-US" w:eastAsia="zh-CN" w:bidi="ar"/>
              </w:rPr>
              <w:t>三</w:t>
            </w:r>
            <w:r>
              <w:rPr>
                <w:rFonts w:hint="eastAsia" w:ascii="仿宋_GB2312" w:eastAsia="仿宋_GB2312" w:cs="仿宋_GB2312" w:hAnsiTheme="minorHAnsi"/>
                <w:color w:val="000000"/>
                <w:kern w:val="0"/>
                <w:sz w:val="24"/>
                <w:szCs w:val="24"/>
                <w:lang w:val="en-US" w:eastAsia="zh-CN" w:bidi="ar"/>
              </w:rPr>
              <w:t>、本年度办理结果</w:t>
            </w:r>
          </w:p>
        </w:tc>
        <w:tc>
          <w:tcPr>
            <w:tcW w:w="218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（一）予以公开</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218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（二）部分公开（区分处理的，只记这一情形，不记其他情形）</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（三）不予公开</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1.属于国家秘密</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295" w:hRule="atLeast"/>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2.其他法律行政法规禁止公开</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3.危及“三安全一稳定”</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4.保护第三方合法权益</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5.属于三类内部事务信息</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45" w:hRule="atLeast"/>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6.属于四类过程性信息</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7.属于行政执法案卷</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8.属于行政查询事项</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（四）无法提供</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1.本机关不掌握相关政府信息</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2.没有现成信息需要另行制作</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3.补正后申请内容仍不明确</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（五）不予处理</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1.信访投诉举报类申请</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2.重复申请</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3.要求提供公开出版物</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4.无正当理由大量反复申请</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05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5.要求行政机关确认或重新出具已获取信息</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宋体"/>
                <w:sz w:val="24"/>
                <w:szCs w:val="24"/>
              </w:rPr>
            </w:pPr>
          </w:p>
        </w:tc>
        <w:tc>
          <w:tcPr>
            <w:tcW w:w="218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（六）其他处理</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8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 </w:t>
            </w:r>
          </w:p>
        </w:tc>
        <w:tc>
          <w:tcPr>
            <w:tcW w:w="218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firstLine="0"/>
              <w:jc w:val="center"/>
            </w:pPr>
            <w:r>
              <w:rPr>
                <w:rFonts w:hint="eastAsia" w:ascii="仿宋_GB2312" w:eastAsia="仿宋_GB2312" w:cs="仿宋_GB2312" w:hAnsiTheme="minorHAnsi"/>
                <w:color w:val="000000"/>
                <w:kern w:val="0"/>
                <w:sz w:val="24"/>
                <w:szCs w:val="24"/>
                <w:lang w:val="en-US" w:eastAsia="zh-CN" w:bidi="ar"/>
              </w:rPr>
              <w:t>（七）总计</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368" w:type="dxa"/>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四、结转下年度继续办理</w:t>
            </w:r>
          </w:p>
        </w:tc>
        <w:tc>
          <w:tcPr>
            <w:tcW w:w="7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6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10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98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c>
          <w:tcPr>
            <w:tcW w:w="80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00" w:lineRule="atLeast"/>
              <w:ind w:left="0" w:right="0"/>
              <w:jc w:val="center"/>
            </w:pPr>
            <w:r>
              <w:rPr>
                <w:rFonts w:hint="eastAsia" w:ascii="仿宋_GB2312" w:eastAsia="仿宋_GB2312" w:cs="仿宋_GB2312" w:hAnsiTheme="minorHAnsi"/>
                <w:color w:val="000000"/>
                <w:kern w:val="0"/>
                <w:sz w:val="24"/>
                <w:szCs w:val="24"/>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40" w:lineRule="atLeast"/>
        <w:ind w:left="0" w:right="0" w:firstLine="640"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四、政府信息公开行政复议、行政诉讼情况</w:t>
      </w:r>
    </w:p>
    <w:tbl>
      <w:tblPr>
        <w:tblStyle w:val="3"/>
        <w:tblW w:w="852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16"/>
        <w:gridCol w:w="620"/>
        <w:gridCol w:w="568"/>
        <w:gridCol w:w="568"/>
        <w:gridCol w:w="568"/>
        <w:gridCol w:w="568"/>
        <w:gridCol w:w="568"/>
        <w:gridCol w:w="568"/>
        <w:gridCol w:w="568"/>
        <w:gridCol w:w="568"/>
        <w:gridCol w:w="568"/>
        <w:gridCol w:w="568"/>
        <w:gridCol w:w="568"/>
        <w:gridCol w:w="568"/>
        <w:gridCol w:w="56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292" w:hRule="atLeast"/>
          <w:jc w:val="center"/>
        </w:trPr>
        <w:tc>
          <w:tcPr>
            <w:tcW w:w="2840"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行政复议</w:t>
            </w:r>
            <w:r>
              <w:rPr>
                <w:rFonts w:hint="eastAsia" w:ascii="仿宋_GB2312" w:hAnsi="微软雅黑" w:eastAsia="仿宋_GB2312" w:cs="仿宋_GB2312"/>
                <w:i w:val="0"/>
                <w:iCs w:val="0"/>
                <w:caps w:val="0"/>
                <w:color w:val="000000"/>
                <w:spacing w:val="0"/>
                <w:kern w:val="0"/>
                <w:sz w:val="24"/>
                <w:szCs w:val="24"/>
                <w:lang w:val="en-US" w:eastAsia="zh-CN" w:bidi="ar"/>
              </w:rPr>
              <w:br w:type="textWrapping"/>
            </w:r>
            <w:r>
              <w:rPr>
                <w:rFonts w:hint="eastAsia" w:ascii="仿宋_GB2312" w:hAnsi="微软雅黑" w:eastAsia="仿宋_GB2312" w:cs="仿宋_GB2312"/>
                <w:b/>
                <w:bCs/>
                <w:i w:val="0"/>
                <w:iCs w:val="0"/>
                <w:caps w:val="0"/>
                <w:color w:val="000000"/>
                <w:spacing w:val="0"/>
                <w:kern w:val="0"/>
                <w:sz w:val="24"/>
                <w:szCs w:val="24"/>
                <w:lang w:val="en-US" w:eastAsia="zh-CN" w:bidi="ar"/>
              </w:rPr>
              <w:t>（因政府信息公开被行政复议）</w:t>
            </w:r>
          </w:p>
        </w:tc>
        <w:tc>
          <w:tcPr>
            <w:tcW w:w="5680"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行政诉讼</w:t>
            </w:r>
            <w:r>
              <w:rPr>
                <w:rFonts w:hint="eastAsia" w:ascii="仿宋_GB2312" w:hAnsi="微软雅黑" w:eastAsia="仿宋_GB2312" w:cs="仿宋_GB2312"/>
                <w:i w:val="0"/>
                <w:iCs w:val="0"/>
                <w:caps w:val="0"/>
                <w:color w:val="000000"/>
                <w:spacing w:val="0"/>
                <w:kern w:val="0"/>
                <w:sz w:val="24"/>
                <w:szCs w:val="24"/>
                <w:lang w:val="en-US" w:eastAsia="zh-CN" w:bidi="ar"/>
              </w:rPr>
              <w:br w:type="textWrapping"/>
            </w:r>
            <w:r>
              <w:rPr>
                <w:rFonts w:hint="eastAsia" w:ascii="仿宋_GB2312" w:hAnsi="微软雅黑" w:eastAsia="仿宋_GB2312" w:cs="仿宋_GB2312"/>
                <w:b/>
                <w:bCs/>
                <w:i w:val="0"/>
                <w:iCs w:val="0"/>
                <w:caps w:val="0"/>
                <w:color w:val="000000"/>
                <w:spacing w:val="0"/>
                <w:kern w:val="0"/>
                <w:sz w:val="24"/>
                <w:szCs w:val="24"/>
                <w:lang w:val="en-US" w:eastAsia="zh-CN" w:bidi="ar"/>
              </w:rPr>
              <w:t>（因政府信息公开被行政诉讼）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6"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结果维护</w:t>
            </w:r>
          </w:p>
        </w:tc>
        <w:tc>
          <w:tcPr>
            <w:tcW w:w="62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结果纠正</w:t>
            </w:r>
          </w:p>
        </w:tc>
        <w:tc>
          <w:tcPr>
            <w:tcW w:w="56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其他结果</w:t>
            </w:r>
          </w:p>
        </w:tc>
        <w:tc>
          <w:tcPr>
            <w:tcW w:w="56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尚未审结</w:t>
            </w:r>
          </w:p>
        </w:tc>
        <w:tc>
          <w:tcPr>
            <w:tcW w:w="56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总计</w:t>
            </w:r>
          </w:p>
        </w:tc>
        <w:tc>
          <w:tcPr>
            <w:tcW w:w="2840"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shd w:val="clear" w:fill="FFFFFF"/>
                <w:lang w:val="en-US" w:eastAsia="zh-CN" w:bidi="ar"/>
              </w:rPr>
              <w:t>未经复议直接起诉</w:t>
            </w:r>
          </w:p>
        </w:tc>
        <w:tc>
          <w:tcPr>
            <w:tcW w:w="2840"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微软雅黑" w:hAnsi="微软雅黑" w:eastAsia="微软雅黑" w:cs="微软雅黑"/>
                <w:i w:val="0"/>
                <w:iCs w:val="0"/>
                <w:caps w:val="0"/>
                <w:color w:val="000000"/>
                <w:spacing w:val="0"/>
                <w:sz w:val="26"/>
                <w:szCs w:val="26"/>
              </w:rPr>
            </w:pPr>
          </w:p>
        </w:tc>
        <w:tc>
          <w:tcPr>
            <w:tcW w:w="62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微软雅黑" w:hAnsi="微软雅黑" w:eastAsia="微软雅黑" w:cs="微软雅黑"/>
                <w:i w:val="0"/>
                <w:iCs w:val="0"/>
                <w:caps w:val="0"/>
                <w:color w:val="000000"/>
                <w:spacing w:val="0"/>
                <w:sz w:val="26"/>
                <w:szCs w:val="26"/>
              </w:rPr>
            </w:pPr>
          </w:p>
        </w:tc>
        <w:tc>
          <w:tcPr>
            <w:tcW w:w="56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微软雅黑" w:hAnsi="微软雅黑" w:eastAsia="微软雅黑" w:cs="微软雅黑"/>
                <w:i w:val="0"/>
                <w:iCs w:val="0"/>
                <w:caps w:val="0"/>
                <w:color w:val="000000"/>
                <w:spacing w:val="0"/>
                <w:sz w:val="26"/>
                <w:szCs w:val="26"/>
              </w:rPr>
            </w:pPr>
          </w:p>
        </w:tc>
        <w:tc>
          <w:tcPr>
            <w:tcW w:w="56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微软雅黑" w:hAnsi="微软雅黑" w:eastAsia="微软雅黑" w:cs="微软雅黑"/>
                <w:i w:val="0"/>
                <w:iCs w:val="0"/>
                <w:caps w:val="0"/>
                <w:color w:val="000000"/>
                <w:spacing w:val="0"/>
                <w:sz w:val="26"/>
                <w:szCs w:val="26"/>
              </w:rPr>
            </w:pPr>
          </w:p>
        </w:tc>
        <w:tc>
          <w:tcPr>
            <w:tcW w:w="56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center"/>
              <w:rPr>
                <w:rFonts w:hint="eastAsia" w:ascii="微软雅黑" w:hAnsi="微软雅黑" w:eastAsia="微软雅黑" w:cs="微软雅黑"/>
                <w:i w:val="0"/>
                <w:iCs w:val="0"/>
                <w:caps w:val="0"/>
                <w:color w:val="000000"/>
                <w:spacing w:val="0"/>
                <w:sz w:val="26"/>
                <w:szCs w:val="26"/>
              </w:rPr>
            </w:pP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结果维护</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结果纠正</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其他结果</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尚未审结</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总计</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结果维护</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结果纠正</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其他结果</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尚未审结</w:t>
            </w:r>
          </w:p>
        </w:tc>
        <w:tc>
          <w:tcPr>
            <w:tcW w:w="56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firstLine="0"/>
              <w:jc w:val="center"/>
            </w:pPr>
            <w:r>
              <w:rPr>
                <w:rFonts w:hint="eastAsia" w:ascii="仿宋_GB2312" w:hAnsi="微软雅黑" w:eastAsia="仿宋_GB2312" w:cs="仿宋_GB2312"/>
                <w:i w:val="0"/>
                <w:iCs w:val="0"/>
                <w:caps w:val="0"/>
                <w:color w:val="000000"/>
                <w:spacing w:val="0"/>
                <w:kern w:val="0"/>
                <w:sz w:val="24"/>
                <w:szCs w:val="24"/>
                <w:lang w:val="en-US" w:eastAsia="zh-CN" w:bidi="ar"/>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70" w:hRule="atLeast"/>
          <w:jc w:val="center"/>
        </w:trPr>
        <w:tc>
          <w:tcPr>
            <w:tcW w:w="516"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6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c>
          <w:tcPr>
            <w:tcW w:w="56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320" w:lineRule="atLeast"/>
              <w:ind w:left="0" w:right="0"/>
              <w:jc w:val="center"/>
            </w:pPr>
            <w:r>
              <w:rPr>
                <w:rFonts w:hint="eastAsia" w:ascii="仿宋_GB2312" w:hAnsi="微软雅黑" w:eastAsia="仿宋_GB2312" w:cs="仿宋_GB2312"/>
                <w:i w:val="0"/>
                <w:iCs w:val="0"/>
                <w:caps w:val="0"/>
                <w:color w:val="000000"/>
                <w:spacing w:val="0"/>
                <w:kern w:val="0"/>
                <w:sz w:val="24"/>
                <w:szCs w:val="24"/>
                <w:lang w:val="en-US" w:eastAsia="zh-CN" w:bidi="ar"/>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0" w:firstLineChars="200"/>
        <w:jc w:val="both"/>
        <w:textAlignment w:val="auto"/>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i w:val="0"/>
          <w:iCs w:val="0"/>
          <w:caps w:val="0"/>
          <w:color w:val="333333"/>
          <w:spacing w:val="0"/>
          <w:sz w:val="32"/>
          <w:szCs w:val="32"/>
          <w:shd w:val="clear" w:fill="FFFFFF"/>
        </w:rPr>
        <w:t>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i w:val="0"/>
          <w:iCs w:val="0"/>
          <w:caps w:val="0"/>
          <w:color w:val="333333"/>
          <w:spacing w:val="0"/>
          <w:sz w:val="32"/>
          <w:szCs w:val="32"/>
          <w:shd w:val="clear" w:fill="FFFFFF"/>
        </w:rPr>
        <w:t>2020年以来，我委积极落实上级政务公开工作有关规定和要求，不断推动管委会政务公开向前发展，但仍存不少问题，如政务“五公开”的工作机制还还不够完善，主动公开的内容、方式还不够多样化，政务公开的智能化水平还不高，与群众日益增长政务公开的需求还存在一定差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i w:val="0"/>
          <w:iCs w:val="0"/>
          <w:caps w:val="0"/>
          <w:color w:val="333333"/>
          <w:spacing w:val="0"/>
          <w:sz w:val="32"/>
          <w:szCs w:val="32"/>
          <w:shd w:val="clear" w:fill="FFFFFF"/>
        </w:rPr>
        <w:t>2021年，我委将加大改进措施提高政务公开水平。紧紧围绕行政服务中心职能，真正立足于服务群众，立足于接受群众监督，立足于解决问题，在办实事、见实效上下功夫。在提高政务公开面，拓宽宣传渠道上，逐步扩大公开内容，真正做到全面，彻底的公开。同时积极运用新媒体不断拓宽政务公开宣传渠道。加强政务公开培训，培养公开意识，通过开展和参加政务公开专题学习，及时总结推广在实践中形成的新做法、新经验，提升政务公开工作水平。进一步加强政策解读和回应关切。丰富形式和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i w:val="0"/>
          <w:iCs w:val="0"/>
          <w:caps w:val="0"/>
          <w:color w:val="333333"/>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pPr>
      <w:r>
        <w:rPr>
          <w:rFonts w:hint="eastAsia" w:ascii="仿宋" w:hAnsi="仿宋" w:eastAsia="仿宋" w:cs="仿宋"/>
          <w:i w:val="0"/>
          <w:iCs w:val="0"/>
          <w:caps w:val="0"/>
          <w:color w:val="333333"/>
          <w:spacing w:val="0"/>
          <w:sz w:val="32"/>
          <w:szCs w:val="32"/>
          <w:shd w:val="clear" w:fill="FFFFFF"/>
        </w:rPr>
        <w:t>我委没有其他需要报告的事项。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2ODZkY2RkYWVmMDcwNzAwMzE5ZjFiOWNhZjkxNzUifQ=="/>
  </w:docVars>
  <w:rsids>
    <w:rsidRoot w:val="30EC0F2E"/>
    <w:rsid w:val="0A391C3C"/>
    <w:rsid w:val="0BC76BDF"/>
    <w:rsid w:val="167A3D60"/>
    <w:rsid w:val="1C6A3ED7"/>
    <w:rsid w:val="30EC0F2E"/>
    <w:rsid w:val="3CC35212"/>
    <w:rsid w:val="407231D7"/>
    <w:rsid w:val="409C0254"/>
    <w:rsid w:val="49B93C25"/>
    <w:rsid w:val="50F5481B"/>
    <w:rsid w:val="541C6180"/>
    <w:rsid w:val="56DA342C"/>
    <w:rsid w:val="5E2D6537"/>
    <w:rsid w:val="66471614"/>
    <w:rsid w:val="694035C3"/>
    <w:rsid w:val="6B1F0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2023-11-24T02:21:00Z</dcterms:created>
  <dc:creator>HD</dc:creator>
  <cp:lastModifiedBy>HD</cp:lastModifiedBy>
  <dcterms:modified xsi:type="dcterms:W3CDTF">2023-11-24T02:34:38Z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EFB8B5817B7D430D849AA45F8FADF5BF_11</vt:lpwstr>
  </property>
</Properties>
</file>