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bookmarkStart w:id="2" w:name="_GoBack"/>
      <w:bookmarkStart w:id="0" w:name="OLE_LINK1"/>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rPr>
        <w:t>加快</w:t>
      </w:r>
      <w:r>
        <w:rPr>
          <w:rFonts w:hint="eastAsia" w:ascii="方正小标宋简体" w:hAnsi="方正小标宋简体" w:eastAsia="方正小标宋简体" w:cs="方正小标宋简体"/>
          <w:sz w:val="44"/>
          <w:szCs w:val="44"/>
          <w:lang w:eastAsia="zh-CN"/>
        </w:rPr>
        <w:t>森林药材高质量</w:t>
      </w:r>
      <w:r>
        <w:rPr>
          <w:rFonts w:hint="eastAsia" w:ascii="方正小标宋简体" w:hAnsi="方正小标宋简体" w:eastAsia="方正小标宋简体" w:cs="方正小标宋简体"/>
          <w:sz w:val="44"/>
          <w:szCs w:val="44"/>
        </w:rPr>
        <w:t>发展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的</w:t>
      </w:r>
      <w:r>
        <w:rPr>
          <w:rFonts w:hint="eastAsia" w:ascii="方正小标宋简体" w:hAnsi="方正小标宋简体" w:eastAsia="方正小标宋简体" w:cs="方正小标宋简体"/>
          <w:sz w:val="44"/>
          <w:szCs w:val="44"/>
          <w:lang w:eastAsia="zh-CN"/>
        </w:rPr>
        <w:t>实施意见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bCs/>
          <w:sz w:val="32"/>
          <w:szCs w:val="32"/>
          <w:u w:val="none"/>
          <w:lang w:val="en-US" w:eastAsia="zh-CN"/>
        </w:rPr>
      </w:pPr>
      <w:r>
        <w:rPr>
          <w:rFonts w:hint="eastAsia" w:ascii="楷体_GB2312" w:hAnsi="楷体_GB2312" w:eastAsia="楷体_GB2312" w:cs="楷体_GB2312"/>
          <w:b/>
          <w:bCs/>
          <w:sz w:val="32"/>
          <w:szCs w:val="32"/>
          <w:u w:val="none"/>
          <w:lang w:val="en-US" w:eastAsia="zh-CN"/>
        </w:rPr>
        <w:t>(征求意见稿）</w:t>
      </w:r>
      <w:bookmarkEnd w:id="0"/>
    </w:p>
    <w:bookmarkEnd w:id="2"/>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为深入贯彻习近平生态文明思想和习近平总书记考察江西重要讲话精神，依托我市丰富的森林资源优势，加快森林药材产业规模化、标准化、品牌化、融合化发展，打造乡村振兴新引擎和绿色经济增长极，结合我市实际，制定本实施意见。</w:t>
      </w:r>
    </w:p>
    <w:p>
      <w:pPr>
        <w:keepNext w:val="0"/>
        <w:keepLines w:val="0"/>
        <w:pageBreakBefore w:val="0"/>
        <w:widowControl w:val="0"/>
        <w:kinsoku/>
        <w:wordWrap/>
        <w:overflowPunct/>
        <w:topLinePunct w:val="0"/>
        <w:autoSpaceDE/>
        <w:autoSpaceDN/>
        <w:bidi w:val="0"/>
        <w:adjustRightInd/>
        <w:snapToGrid/>
        <w:spacing w:line="600" w:lineRule="exact"/>
        <w:ind w:firstLine="668" w:firstLineChars="200"/>
        <w:textAlignment w:val="auto"/>
        <w:rPr>
          <w:rFonts w:hint="eastAsia" w:ascii="黑体" w:hAnsi="黑体" w:eastAsia="黑体" w:cs="黑体"/>
          <w:spacing w:val="7"/>
          <w:kern w:val="2"/>
          <w:sz w:val="32"/>
          <w:szCs w:val="32"/>
          <w:u w:val="none"/>
          <w:lang w:val="en-US" w:eastAsia="zh-CN" w:bidi="ar-SA"/>
        </w:rPr>
      </w:pPr>
      <w:r>
        <w:rPr>
          <w:rFonts w:hint="eastAsia" w:ascii="黑体" w:hAnsi="黑体" w:eastAsia="黑体" w:cs="黑体"/>
          <w:spacing w:val="7"/>
          <w:kern w:val="2"/>
          <w:sz w:val="32"/>
          <w:szCs w:val="32"/>
          <w:u w:val="none"/>
          <w:lang w:val="en-US" w:eastAsia="zh-CN" w:bidi="ar-SA"/>
        </w:rPr>
        <w:t>一、总体要求</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rPr>
        <w:t>坚持以习近平新时代中国特色社会主义思想为指导，深入贯彻落实党的二十大精神和习近平总书记考察江西重要讲话精神，践行“绿水青山就是金山银山”发展理念， 以保护生态环境为前提，提高林地综合效益为核心，促进</w:t>
      </w:r>
      <w:r>
        <w:rPr>
          <w:rFonts w:hint="eastAsia" w:ascii="仿宋_GB2312" w:hAnsi="仿宋_GB2312" w:eastAsia="仿宋_GB2312" w:cs="仿宋_GB2312"/>
          <w:sz w:val="32"/>
          <w:szCs w:val="32"/>
          <w:u w:val="none"/>
          <w:lang w:eastAsia="zh-CN"/>
        </w:rPr>
        <w:t>林农</w:t>
      </w:r>
      <w:r>
        <w:rPr>
          <w:rFonts w:hint="eastAsia" w:ascii="仿宋_GB2312" w:hAnsi="仿宋_GB2312" w:eastAsia="仿宋_GB2312" w:cs="仿宋_GB2312"/>
          <w:sz w:val="32"/>
          <w:szCs w:val="32"/>
          <w:u w:val="none"/>
        </w:rPr>
        <w:t>增收为目的，进一步释放林地资源潜力，科学规划</w:t>
      </w:r>
      <w:r>
        <w:rPr>
          <w:rFonts w:hint="eastAsia" w:ascii="仿宋_GB2312" w:hAnsi="仿宋_GB2312" w:eastAsia="仿宋_GB2312" w:cs="仿宋_GB2312"/>
          <w:sz w:val="32"/>
          <w:szCs w:val="32"/>
          <w:u w:val="none"/>
          <w:lang w:eastAsia="zh-CN"/>
        </w:rPr>
        <w:t>森林药材</w:t>
      </w:r>
      <w:r>
        <w:rPr>
          <w:rFonts w:hint="eastAsia" w:ascii="仿宋_GB2312" w:hAnsi="仿宋_GB2312" w:eastAsia="仿宋_GB2312" w:cs="仿宋_GB2312"/>
          <w:sz w:val="32"/>
          <w:szCs w:val="32"/>
          <w:u w:val="none"/>
        </w:rPr>
        <w:t>产业布局，切实加大政策扶持力度，着力构建现代林业产业发展体系，多举措畅通“</w:t>
      </w:r>
      <w:r>
        <w:rPr>
          <w:rFonts w:hint="eastAsia" w:ascii="仿宋_GB2312" w:hAnsi="仿宋_GB2312" w:eastAsia="仿宋_GB2312" w:cs="仿宋_GB2312"/>
          <w:sz w:val="32"/>
          <w:szCs w:val="32"/>
          <w:u w:val="none"/>
          <w:lang w:eastAsia="zh-CN"/>
        </w:rPr>
        <w:t>绿水青山就是金山银山</w:t>
      </w:r>
      <w:r>
        <w:rPr>
          <w:rFonts w:hint="eastAsia" w:ascii="仿宋_GB2312" w:hAnsi="仿宋_GB2312" w:eastAsia="仿宋_GB2312" w:cs="仿宋_GB2312"/>
          <w:sz w:val="32"/>
          <w:szCs w:val="32"/>
          <w:u w:val="none"/>
        </w:rPr>
        <w:t>”转换通道，</w:t>
      </w:r>
      <w:r>
        <w:rPr>
          <w:rFonts w:hint="eastAsia" w:ascii="仿宋_GB2312" w:hAnsi="仿宋_GB2312" w:eastAsia="仿宋_GB2312" w:cs="仿宋_GB2312"/>
          <w:sz w:val="32"/>
          <w:szCs w:val="32"/>
          <w:u w:val="none"/>
          <w:lang w:eastAsia="zh-CN"/>
        </w:rPr>
        <w:t>把</w:t>
      </w:r>
      <w:r>
        <w:rPr>
          <w:rFonts w:hint="eastAsia" w:ascii="仿宋_GB2312" w:hAnsi="仿宋_GB2312" w:eastAsia="仿宋_GB2312" w:cs="仿宋_GB2312"/>
          <w:sz w:val="32"/>
          <w:szCs w:val="32"/>
          <w:u w:val="none"/>
          <w:lang w:val="en-US" w:eastAsia="zh-CN"/>
        </w:rPr>
        <w:t>森林药材</w:t>
      </w:r>
      <w:r>
        <w:rPr>
          <w:rFonts w:hint="eastAsia" w:ascii="仿宋_GB2312" w:hAnsi="仿宋_GB2312" w:eastAsia="仿宋_GB2312" w:cs="仿宋_GB2312"/>
          <w:sz w:val="32"/>
          <w:szCs w:val="32"/>
          <w:u w:val="none"/>
          <w:lang w:eastAsia="zh-CN"/>
        </w:rPr>
        <w:t>产业培育成为富民的主导产业、</w:t>
      </w:r>
      <w:r>
        <w:rPr>
          <w:rFonts w:hint="eastAsia" w:ascii="仿宋_GB2312" w:hAnsi="仿宋_GB2312" w:eastAsia="仿宋_GB2312" w:cs="仿宋_GB2312"/>
          <w:sz w:val="32"/>
          <w:szCs w:val="32"/>
          <w:u w:val="none"/>
          <w:lang w:val="en-US" w:eastAsia="zh-CN"/>
        </w:rPr>
        <w:t>乡村振兴</w:t>
      </w:r>
      <w:r>
        <w:rPr>
          <w:rFonts w:hint="eastAsia" w:ascii="仿宋_GB2312" w:hAnsi="仿宋_GB2312" w:eastAsia="仿宋_GB2312" w:cs="仿宋_GB2312"/>
          <w:sz w:val="32"/>
          <w:szCs w:val="32"/>
          <w:u w:val="none"/>
          <w:lang w:eastAsia="zh-CN"/>
        </w:rPr>
        <w:t>的支柱产业、可持续发展的生态产业。</w:t>
      </w:r>
    </w:p>
    <w:p>
      <w:pPr>
        <w:keepNext w:val="0"/>
        <w:keepLines w:val="0"/>
        <w:pageBreakBefore w:val="0"/>
        <w:widowControl w:val="0"/>
        <w:kinsoku/>
        <w:wordWrap/>
        <w:overflowPunct/>
        <w:topLinePunct w:val="0"/>
        <w:autoSpaceDE/>
        <w:autoSpaceDN/>
        <w:bidi w:val="0"/>
        <w:adjustRightInd/>
        <w:snapToGrid/>
        <w:spacing w:line="600" w:lineRule="exact"/>
        <w:ind w:firstLine="668" w:firstLineChars="200"/>
        <w:textAlignment w:val="auto"/>
        <w:rPr>
          <w:rFonts w:hint="eastAsia" w:ascii="黑体" w:hAnsi="黑体" w:eastAsia="黑体" w:cs="黑体"/>
          <w:spacing w:val="7"/>
          <w:kern w:val="2"/>
          <w:sz w:val="32"/>
          <w:szCs w:val="32"/>
          <w:u w:val="none"/>
          <w:lang w:val="en-US" w:eastAsia="zh-CN" w:bidi="ar-SA"/>
        </w:rPr>
      </w:pPr>
      <w:r>
        <w:rPr>
          <w:rFonts w:hint="eastAsia" w:ascii="黑体" w:hAnsi="黑体" w:eastAsia="黑体" w:cs="黑体"/>
          <w:spacing w:val="7"/>
          <w:kern w:val="2"/>
          <w:sz w:val="32"/>
          <w:szCs w:val="32"/>
          <w:u w:val="none"/>
          <w:lang w:val="en-US" w:eastAsia="zh-CN" w:bidi="ar-SA"/>
        </w:rPr>
        <w:t>二、主要目标</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eastAsia="zh-CN"/>
        </w:rPr>
        <w:t>到20</w:t>
      </w:r>
      <w:r>
        <w:rPr>
          <w:rFonts w:hint="eastAsia" w:ascii="仿宋_GB2312" w:hAnsi="仿宋_GB2312" w:eastAsia="仿宋_GB2312" w:cs="仿宋_GB2312"/>
          <w:sz w:val="32"/>
          <w:szCs w:val="32"/>
          <w:u w:val="none"/>
          <w:lang w:val="en-US" w:eastAsia="zh-CN"/>
        </w:rPr>
        <w:t>30</w:t>
      </w:r>
      <w:r>
        <w:rPr>
          <w:rFonts w:hint="eastAsia" w:ascii="仿宋_GB2312" w:hAnsi="仿宋_GB2312" w:eastAsia="仿宋_GB2312" w:cs="仿宋_GB2312"/>
          <w:sz w:val="32"/>
          <w:szCs w:val="32"/>
          <w:u w:val="none"/>
          <w:lang w:eastAsia="zh-CN"/>
        </w:rPr>
        <w:t>年，</w:t>
      </w:r>
      <w:r>
        <w:rPr>
          <w:rFonts w:hint="eastAsia" w:ascii="仿宋_GB2312" w:hAnsi="仿宋_GB2312" w:eastAsia="仿宋_GB2312" w:cs="仿宋_GB2312"/>
          <w:sz w:val="32"/>
          <w:szCs w:val="32"/>
          <w:u w:val="none"/>
        </w:rPr>
        <w:t>新增</w:t>
      </w:r>
      <w:r>
        <w:rPr>
          <w:rFonts w:hint="eastAsia" w:ascii="仿宋_GB2312" w:hAnsi="仿宋_GB2312" w:eastAsia="仿宋_GB2312" w:cs="仿宋_GB2312"/>
          <w:sz w:val="32"/>
          <w:szCs w:val="32"/>
          <w:u w:val="none"/>
          <w:lang w:eastAsia="zh-CN"/>
        </w:rPr>
        <w:t>森林药材</w:t>
      </w:r>
      <w:r>
        <w:rPr>
          <w:rFonts w:hint="eastAsia" w:ascii="仿宋_GB2312" w:hAnsi="仿宋_GB2312" w:eastAsia="仿宋_GB2312" w:cs="仿宋_GB2312"/>
          <w:sz w:val="32"/>
          <w:szCs w:val="32"/>
          <w:u w:val="none"/>
        </w:rPr>
        <w:t>经营面积</w:t>
      </w:r>
      <w:r>
        <w:rPr>
          <w:rFonts w:hint="eastAsia" w:ascii="仿宋_GB2312" w:hAnsi="仿宋_GB2312" w:eastAsia="仿宋_GB2312" w:cs="仿宋_GB2312"/>
          <w:sz w:val="32"/>
          <w:szCs w:val="32"/>
          <w:u w:val="none"/>
          <w:lang w:val="en-US" w:eastAsia="zh-CN"/>
        </w:rPr>
        <w:t>1.5</w:t>
      </w:r>
      <w:r>
        <w:rPr>
          <w:rFonts w:hint="eastAsia" w:ascii="仿宋_GB2312" w:hAnsi="仿宋_GB2312" w:eastAsia="仿宋_GB2312" w:cs="仿宋_GB2312"/>
          <w:sz w:val="32"/>
          <w:szCs w:val="32"/>
          <w:u w:val="none"/>
        </w:rPr>
        <w:t>万亩，</w:t>
      </w:r>
      <w:r>
        <w:rPr>
          <w:rFonts w:hint="eastAsia" w:ascii="仿宋_GB2312" w:hAnsi="仿宋_GB2312" w:eastAsia="仿宋_GB2312" w:cs="仿宋_GB2312"/>
          <w:sz w:val="32"/>
          <w:szCs w:val="32"/>
          <w:u w:val="none"/>
          <w:lang w:eastAsia="zh-CN"/>
        </w:rPr>
        <w:t>森林药材种植面积达到</w:t>
      </w:r>
      <w:r>
        <w:rPr>
          <w:rFonts w:hint="eastAsia" w:ascii="仿宋_GB2312" w:hAnsi="仿宋_GB2312" w:eastAsia="仿宋_GB2312" w:cs="仿宋_GB2312"/>
          <w:sz w:val="32"/>
          <w:szCs w:val="32"/>
          <w:u w:val="none"/>
          <w:lang w:val="en-US" w:eastAsia="zh-CN"/>
        </w:rPr>
        <w:t>3万亩；</w:t>
      </w:r>
      <w:r>
        <w:rPr>
          <w:rFonts w:hint="eastAsia" w:ascii="仿宋_GB2312" w:hAnsi="仿宋_GB2312" w:eastAsia="仿宋_GB2312" w:cs="仿宋_GB2312"/>
          <w:sz w:val="32"/>
          <w:szCs w:val="32"/>
          <w:u w:val="none"/>
        </w:rPr>
        <w:t>建成100亩以上</w:t>
      </w:r>
      <w:r>
        <w:rPr>
          <w:rFonts w:hint="eastAsia" w:ascii="仿宋_GB2312" w:hAnsi="仿宋_GB2312" w:eastAsia="仿宋_GB2312" w:cs="仿宋_GB2312"/>
          <w:sz w:val="32"/>
          <w:szCs w:val="32"/>
          <w:u w:val="none"/>
          <w:lang w:eastAsia="zh-CN"/>
        </w:rPr>
        <w:t>森林药材基地（含水肥一体化示范基地）</w:t>
      </w:r>
      <w:r>
        <w:rPr>
          <w:rFonts w:hint="eastAsia" w:ascii="仿宋_GB2312" w:hAnsi="仿宋_GB2312" w:eastAsia="仿宋_GB2312" w:cs="仿宋_GB2312"/>
          <w:sz w:val="32"/>
          <w:szCs w:val="32"/>
          <w:u w:val="none"/>
          <w:lang w:val="en-US" w:eastAsia="zh-CN"/>
        </w:rPr>
        <w:t>20</w:t>
      </w:r>
      <w:r>
        <w:rPr>
          <w:rFonts w:hint="eastAsia" w:ascii="仿宋_GB2312" w:hAnsi="仿宋_GB2312" w:eastAsia="仿宋_GB2312" w:cs="仿宋_GB2312"/>
          <w:sz w:val="32"/>
          <w:szCs w:val="32"/>
          <w:u w:val="none"/>
        </w:rPr>
        <w:t>个，培育</w:t>
      </w:r>
      <w:r>
        <w:rPr>
          <w:rFonts w:hint="eastAsia" w:ascii="仿宋_GB2312" w:hAnsi="仿宋_GB2312" w:eastAsia="仿宋_GB2312" w:cs="仿宋_GB2312"/>
          <w:sz w:val="32"/>
          <w:szCs w:val="32"/>
          <w:u w:val="none"/>
          <w:lang w:eastAsia="zh-CN"/>
        </w:rPr>
        <w:t>森林药材初加工</w:t>
      </w:r>
      <w:r>
        <w:rPr>
          <w:rFonts w:hint="eastAsia" w:ascii="仿宋_GB2312" w:hAnsi="仿宋_GB2312" w:eastAsia="仿宋_GB2312" w:cs="仿宋_GB2312"/>
          <w:sz w:val="32"/>
          <w:szCs w:val="32"/>
          <w:u w:val="none"/>
        </w:rPr>
        <w:t>企业1-2 家</w:t>
      </w:r>
      <w:r>
        <w:rPr>
          <w:rFonts w:hint="eastAsia" w:ascii="仿宋_GB2312" w:hAnsi="仿宋_GB2312" w:eastAsia="仿宋_GB2312" w:cs="仿宋_GB2312"/>
          <w:sz w:val="32"/>
          <w:szCs w:val="32"/>
          <w:u w:val="none"/>
          <w:lang w:eastAsia="zh-CN"/>
        </w:rPr>
        <w:t>，培育森林药材种苗企业</w:t>
      </w:r>
      <w:r>
        <w:rPr>
          <w:rFonts w:hint="eastAsia" w:ascii="仿宋_GB2312" w:hAnsi="仿宋_GB2312" w:eastAsia="仿宋_GB2312" w:cs="仿宋_GB2312"/>
          <w:sz w:val="32"/>
          <w:szCs w:val="32"/>
          <w:u w:val="none"/>
          <w:lang w:val="en-US" w:eastAsia="zh-CN"/>
        </w:rPr>
        <w:t>1</w:t>
      </w:r>
      <w:r>
        <w:rPr>
          <w:rFonts w:hint="eastAsia" w:ascii="仿宋_GB2312" w:hAnsi="仿宋_GB2312" w:eastAsia="仿宋_GB2312" w:cs="仿宋_GB2312"/>
          <w:sz w:val="32"/>
          <w:szCs w:val="32"/>
          <w:u w:val="none"/>
          <w:lang w:eastAsia="zh-CN"/>
        </w:rPr>
        <w:t>家，建设森林药材产学研基地</w:t>
      </w:r>
      <w:r>
        <w:rPr>
          <w:rFonts w:hint="eastAsia" w:ascii="仿宋_GB2312" w:hAnsi="仿宋_GB2312" w:eastAsia="仿宋_GB2312" w:cs="仿宋_GB2312"/>
          <w:sz w:val="32"/>
          <w:szCs w:val="32"/>
          <w:u w:val="none"/>
          <w:lang w:val="en-US" w:eastAsia="zh-CN"/>
        </w:rPr>
        <w:t>1</w:t>
      </w:r>
      <w:r>
        <w:rPr>
          <w:rFonts w:hint="eastAsia" w:ascii="仿宋_GB2312" w:hAnsi="仿宋_GB2312" w:eastAsia="仿宋_GB2312" w:cs="仿宋_GB2312"/>
          <w:sz w:val="32"/>
          <w:szCs w:val="32"/>
          <w:u w:val="none"/>
          <w:lang w:eastAsia="zh-CN"/>
        </w:rPr>
        <w:t>个，</w:t>
      </w:r>
      <w:r>
        <w:rPr>
          <w:rFonts w:hint="eastAsia" w:ascii="仿宋_GB2312" w:hAnsi="仿宋_GB2312" w:eastAsia="仿宋_GB2312" w:cs="仿宋_GB2312"/>
          <w:sz w:val="32"/>
          <w:szCs w:val="32"/>
          <w:u w:val="none"/>
          <w:lang w:val="en-US" w:eastAsia="zh-CN"/>
        </w:rPr>
        <w:t>森林药材种植规模和质量显著提升，富民增收作用明显增强</w:t>
      </w:r>
      <w:r>
        <w:rPr>
          <w:rFonts w:hint="eastAsia" w:ascii="仿宋_GB2312" w:hAnsi="仿宋_GB2312" w:eastAsia="仿宋_GB2312" w:cs="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68" w:firstLineChars="200"/>
        <w:textAlignment w:val="auto"/>
        <w:rPr>
          <w:rFonts w:hint="eastAsia" w:ascii="黑体" w:hAnsi="黑体" w:eastAsia="黑体" w:cs="黑体"/>
          <w:spacing w:val="7"/>
          <w:kern w:val="2"/>
          <w:sz w:val="32"/>
          <w:szCs w:val="32"/>
          <w:u w:val="none"/>
          <w:lang w:val="en-US" w:eastAsia="zh-CN" w:bidi="ar-SA"/>
        </w:rPr>
      </w:pPr>
      <w:r>
        <w:rPr>
          <w:rFonts w:hint="eastAsia" w:ascii="黑体" w:hAnsi="黑体" w:eastAsia="黑体" w:cs="黑体"/>
          <w:spacing w:val="7"/>
          <w:kern w:val="2"/>
          <w:sz w:val="32"/>
          <w:szCs w:val="32"/>
          <w:u w:val="none"/>
          <w:lang w:val="en-US" w:eastAsia="zh-CN" w:bidi="ar-SA"/>
        </w:rPr>
        <w:t>三、重点任务</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1.扩大森林药材种植</w:t>
      </w:r>
      <w:r>
        <w:rPr>
          <w:rFonts w:hint="eastAsia" w:ascii="仿宋_GB2312" w:hAnsi="仿宋_GB2312" w:eastAsia="仿宋_GB2312" w:cs="仿宋_GB2312"/>
          <w:sz w:val="32"/>
          <w:szCs w:val="32"/>
          <w:u w:val="none"/>
          <w:lang w:val="en-US" w:eastAsia="zh-CN"/>
        </w:rPr>
        <w:t>：支持森林药材种植大户、企业建设森林药材苗圃，保障优质种苗供应；重点发展道地药材和优势品种，主推黄精、栀子、粉防己、吴茱萸、岗梅等适宜本地种植的品种，每年发展森林药材3000亩以上；到2030年，打造百亩以上高标准森林药材种植示范基地20个，辐射带动周边区域规模化发展。</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2.丰富森林药材业态：</w:t>
      </w:r>
      <w:r>
        <w:rPr>
          <w:rFonts w:hint="eastAsia" w:ascii="仿宋_GB2312" w:hAnsi="仿宋_GB2312" w:eastAsia="仿宋_GB2312" w:cs="仿宋_GB2312"/>
          <w:sz w:val="32"/>
          <w:szCs w:val="32"/>
          <w:u w:val="none"/>
          <w:lang w:val="en-US" w:eastAsia="zh-CN"/>
        </w:rPr>
        <w:t>推动林下产品加工与休闲旅游、农耕体验、文化传承深度融合，依托百峰岭、荷岭林场等景点建设林下经济（森林药材）研学基地，开发采摘体验、民俗文化、科普教育等多元产品，实现 “看林、赏景、品鲜、养生” 一体化发展。</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3.培育新型经营主体：</w:t>
      </w:r>
      <w:r>
        <w:rPr>
          <w:rFonts w:hint="eastAsia" w:ascii="仿宋_GB2312" w:hAnsi="仿宋_GB2312" w:eastAsia="仿宋_GB2312" w:cs="仿宋_GB2312"/>
          <w:sz w:val="32"/>
          <w:szCs w:val="32"/>
          <w:u w:val="none"/>
          <w:lang w:val="en-US" w:eastAsia="zh-CN"/>
        </w:rPr>
        <w:t>发展适度规模集约经营，鼓励林农通过土地流转、土地入股等方式与经营主体合作，大力培育示范效应好、带动能力强的100亩以上优质经营大户，推广“企业+合作社+基地+农户”等经营模式，鼓励种植大户就近建设森林药材初加工基地，开展趁鲜切制和精深加工。</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4.加强基础设施建设：</w:t>
      </w:r>
      <w:r>
        <w:rPr>
          <w:rFonts w:hint="eastAsia" w:ascii="仿宋_GB2312" w:hAnsi="仿宋_GB2312" w:eastAsia="仿宋_GB2312" w:cs="仿宋_GB2312"/>
          <w:sz w:val="32"/>
          <w:szCs w:val="32"/>
          <w:u w:val="none"/>
          <w:lang w:val="en-US" w:eastAsia="zh-CN"/>
        </w:rPr>
        <w:t>加强森林药材种植基地水肥灌溉设施建设，提高药材抗旱保墒能力，同时加大对百亩以上森林药材种植基地道路、灌溉、电力等基础设施建设的支持力度，降低生产经营成本，不断提高种植基地的机械化建设水平。到2030年，新修作业生产道路150公里，增加水肥一体化药材种植基地3个。</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5.加强森林药材品牌建设。</w:t>
      </w:r>
      <w:r>
        <w:rPr>
          <w:rFonts w:hint="eastAsia" w:ascii="仿宋_GB2312" w:hAnsi="仿宋_GB2312" w:eastAsia="仿宋_GB2312" w:cs="仿宋_GB2312"/>
          <w:sz w:val="32"/>
          <w:szCs w:val="32"/>
          <w:u w:val="none"/>
          <w:lang w:val="en-US" w:eastAsia="zh-CN"/>
        </w:rPr>
        <w:t>坚持把森林药材生产质量摆在首要位置，森林药材生产基地严格规范基地选址、优质种苗遴选、生态种养技术应用、标准化采收加工及科学包装贮存等全流程技术规程，强化各关键环节的现场指导、过程管控与台账记录，健全从种苗培育、田间管理到产品加工、市场流通的全链条森林药材质量可追溯体系，以过硬品质夯实品牌建设基础，提升高安森林药材的市场辨识度和核心竞争力。</w:t>
      </w:r>
    </w:p>
    <w:p>
      <w:pPr>
        <w:keepNext w:val="0"/>
        <w:keepLines w:val="0"/>
        <w:pageBreakBefore w:val="0"/>
        <w:widowControl w:val="0"/>
        <w:kinsoku/>
        <w:wordWrap/>
        <w:overflowPunct/>
        <w:topLinePunct w:val="0"/>
        <w:autoSpaceDE/>
        <w:autoSpaceDN/>
        <w:bidi w:val="0"/>
        <w:adjustRightInd/>
        <w:snapToGrid/>
        <w:spacing w:line="600" w:lineRule="exact"/>
        <w:ind w:firstLine="668" w:firstLineChars="200"/>
        <w:textAlignment w:val="auto"/>
        <w:rPr>
          <w:rFonts w:hint="eastAsia" w:ascii="黑体" w:hAnsi="黑体" w:eastAsia="黑体" w:cs="黑体"/>
          <w:spacing w:val="7"/>
          <w:kern w:val="2"/>
          <w:sz w:val="32"/>
          <w:szCs w:val="32"/>
          <w:u w:val="none"/>
          <w:lang w:val="en-US" w:eastAsia="zh-CN" w:bidi="ar-SA"/>
        </w:rPr>
      </w:pPr>
      <w:r>
        <w:rPr>
          <w:rFonts w:hint="eastAsia" w:ascii="黑体" w:hAnsi="黑体" w:eastAsia="黑体" w:cs="黑体"/>
          <w:spacing w:val="7"/>
          <w:kern w:val="2"/>
          <w:sz w:val="32"/>
          <w:szCs w:val="32"/>
          <w:u w:val="none"/>
          <w:lang w:val="en-US" w:eastAsia="zh-CN" w:bidi="ar-SA"/>
        </w:rPr>
        <w:t>四、保障措施</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楷体_GB2312" w:hAnsi="楷体_GB2312" w:eastAsia="楷体_GB2312" w:cs="楷体_GB2312"/>
          <w:b/>
          <w:bCs/>
          <w:sz w:val="32"/>
          <w:szCs w:val="32"/>
          <w:u w:val="none"/>
          <w:lang w:eastAsia="zh-CN"/>
        </w:rPr>
        <w:t>（一）强化林地资源保障。</w:t>
      </w:r>
      <w:r>
        <w:rPr>
          <w:rFonts w:hint="eastAsia" w:ascii="仿宋_GB2312" w:hAnsi="仿宋_GB2312" w:eastAsia="仿宋_GB2312" w:cs="仿宋_GB2312"/>
          <w:sz w:val="32"/>
          <w:szCs w:val="32"/>
          <w:u w:val="none"/>
          <w:lang w:val="en-US" w:eastAsia="zh-CN"/>
        </w:rPr>
        <w:t>鼓励利用各类适宜林地发展林下经济，对符合条件的公益林、天然林，要在保障生态功能不下降的前提下，允许进行科学适度的抚育间伐。在利用林地发展林下经济时，在不采伐林木、不影响树木生长、不造成污染的前提下，允许放置移动类设施、利用林间空地建设必要的生产管护设施、生产资料库房和采集产品临时储藏室，相关用地均可按直接为林业生产服务的设施用地管理，并办理相关手续。</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楷体_GB2312" w:hAnsi="楷体_GB2312" w:eastAsia="楷体_GB2312" w:cs="楷体_GB2312"/>
          <w:b/>
          <w:bCs/>
          <w:sz w:val="32"/>
          <w:szCs w:val="32"/>
          <w:u w:val="none"/>
          <w:lang w:val="en-US" w:eastAsia="zh-CN"/>
        </w:rPr>
        <w:t>（二）深化集体林权制度改革。</w:t>
      </w:r>
      <w:r>
        <w:rPr>
          <w:rFonts w:hint="eastAsia" w:ascii="仿宋_GB2312" w:hAnsi="仿宋_GB2312" w:eastAsia="仿宋_GB2312" w:cs="仿宋_GB2312"/>
          <w:sz w:val="32"/>
          <w:szCs w:val="32"/>
          <w:u w:val="none"/>
          <w:lang w:val="en-US" w:eastAsia="zh-CN"/>
        </w:rPr>
        <w:t>全面推广"三库三台"林权收储模式，完善林权资源储备库、需求信息库、市场交易数据库，做强交易、融资、服务三大平台。推行林业经营收益权登记制度，为经营主体颁发收益权证，打通抵押融资通道，放活集体林地经营权，鼓励社会资本依法取得经营权发展林下经济，保障经营主体合法权益。</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楷体_GB2312" w:hAnsi="楷体_GB2312" w:eastAsia="楷体_GB2312" w:cs="楷体_GB2312"/>
          <w:b/>
          <w:bCs/>
          <w:sz w:val="32"/>
          <w:szCs w:val="32"/>
          <w:u w:val="none"/>
          <w:lang w:eastAsia="zh-CN"/>
        </w:rPr>
        <w:t>（三）加大项目补助扶持。</w:t>
      </w:r>
      <w:r>
        <w:rPr>
          <w:rFonts w:hint="eastAsia" w:ascii="仿宋_GB2312" w:hAnsi="仿宋_GB2312" w:eastAsia="仿宋_GB2312" w:cs="仿宋_GB2312"/>
          <w:sz w:val="32"/>
          <w:szCs w:val="32"/>
          <w:u w:val="none"/>
          <w:lang w:val="en-US" w:eastAsia="zh-CN"/>
        </w:rPr>
        <w:t>2026年及以后，在高安市林地范围内种植中药材连片面积20亩以上（含）可享受种植扶持。在上级补助资金的基础上，市本级再予补助：一年生草本森林药材每亩补助100元，多年生草本和木本类森林药材每亩补助200元，同一地块5年内不重复补助，上级补助资金在种植第二年验收后予以拨付，市级补助资金在种植第三年予以拨付；同时发挥财政资金引导作用，对100亩以上森林药材种植示范基地奖补5万元/个，森林药材产学研基地、100亩以上水肥一体化示范基地奖补10万元/个。</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楷体_GB2312" w:hAnsi="楷体_GB2312" w:eastAsia="楷体_GB2312" w:cs="楷体_GB2312"/>
          <w:b/>
          <w:bCs/>
          <w:sz w:val="32"/>
          <w:szCs w:val="32"/>
          <w:u w:val="none"/>
          <w:lang w:val="en-US" w:eastAsia="zh-CN"/>
        </w:rPr>
        <w:t>（四）加强森林药材基地管护。</w:t>
      </w:r>
      <w:r>
        <w:rPr>
          <w:rFonts w:hint="eastAsia" w:ascii="仿宋_GB2312" w:hAnsi="仿宋_GB2312" w:eastAsia="仿宋_GB2312" w:cs="仿宋_GB2312"/>
          <w:sz w:val="32"/>
          <w:szCs w:val="32"/>
          <w:u w:val="none"/>
          <w:lang w:val="en-US" w:eastAsia="zh-CN"/>
        </w:rPr>
        <w:t>明确乡镇为药材基地管护责任单位，农户应与乡镇签订管护承诺书，做好药材田间管理，乡镇要明确专人负责药材基地管护巡查，督促实施主体及时进行中耕除草、施肥、病虫害防治等，在中药材正常生长期内，抚育管护不当且拒不整改、随意毁坏种植面积的追回前期补助资金，不再享受补助优惠政策，确保种植一块收获一块。</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附件：1.高安市森林药材示范基地补助实施细则（试行)</w:t>
      </w:r>
    </w:p>
    <w:p>
      <w:pPr>
        <w:keepNext w:val="0"/>
        <w:keepLines w:val="0"/>
        <w:pageBreakBefore w:val="0"/>
        <w:widowControl w:val="0"/>
        <w:numPr>
          <w:ilvl w:val="0"/>
          <w:numId w:val="0"/>
        </w:numPr>
        <w:kinsoku/>
        <w:wordWrap/>
        <w:overflowPunct/>
        <w:topLinePunct w:val="0"/>
        <w:autoSpaceDE/>
        <w:autoSpaceDN/>
        <w:bidi w:val="0"/>
        <w:adjustRightInd/>
        <w:snapToGrid/>
        <w:spacing w:before="57" w:line="600" w:lineRule="exact"/>
        <w:ind w:left="1598" w:leftChars="304" w:hanging="960" w:hangingChars="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2.高安市森林药材示范基地申报表</w:t>
      </w:r>
      <w:r>
        <w:rPr>
          <w:rFonts w:hint="eastAsia" w:ascii="仿宋_GB2312" w:hAnsi="仿宋_GB2312" w:eastAsia="仿宋_GB2312" w:cs="仿宋_GB2312"/>
          <w:sz w:val="32"/>
          <w:szCs w:val="32"/>
          <w:u w:val="none"/>
          <w:lang w:val="en-US" w:eastAsia="zh-CN"/>
        </w:rPr>
        <w:br w:type="textWrapping"/>
      </w:r>
      <w:r>
        <w:rPr>
          <w:rFonts w:hint="eastAsia" w:ascii="仿宋_GB2312" w:hAnsi="仿宋_GB2312" w:eastAsia="仿宋_GB2312" w:cs="仿宋_GB2312"/>
          <w:sz w:val="32"/>
          <w:szCs w:val="32"/>
          <w:u w:val="none"/>
          <w:lang w:val="en-US" w:eastAsia="zh-CN"/>
        </w:rPr>
        <w:t>3.森林药材示范基地考核评价表</w:t>
      </w:r>
    </w:p>
    <w:p>
      <w:pPr>
        <w:pStyle w:val="4"/>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国标仿宋-GB/T 2312" w:hAnsi="国标仿宋-GB/T 2312" w:eastAsia="国标仿宋-GB/T 2312" w:cs="国标仿宋-GB/T 2312"/>
          <w:kern w:val="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国标仿宋-GB/T 2312" w:hAnsi="国标仿宋-GB/T 2312" w:eastAsia="国标仿宋-GB/T 2312" w:cs="国标仿宋-GB/T 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国标仿宋-GB/T 2312" w:hAnsi="国标仿宋-GB/T 2312" w:eastAsia="国标仿宋-GB/T 2312" w:cs="国标仿宋-GB/T 2312"/>
          <w:sz w:val="32"/>
          <w:szCs w:val="32"/>
          <w:u w:val="none"/>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高安市森林药材示范基地补助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实施细则（试行）</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为推动全市森林药材高质量发展，扩大森林药材种植面积，落实中药材种植扶持政策，规范补助资金管理，提高资金使用效益，经市委、市政府研究，特制定本实施细则。</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一、补助对象和范围</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sz w:val="32"/>
          <w:szCs w:val="32"/>
          <w:u w:val="none"/>
          <w:lang w:eastAsia="zh-CN"/>
        </w:rPr>
      </w:pPr>
      <w:r>
        <w:rPr>
          <w:rFonts w:hint="eastAsia" w:ascii="楷体_GB2312" w:hAnsi="楷体_GB2312" w:eastAsia="楷体_GB2312" w:cs="楷体_GB2312"/>
          <w:b/>
          <w:bCs/>
          <w:sz w:val="32"/>
          <w:szCs w:val="32"/>
          <w:u w:val="none"/>
          <w:lang w:eastAsia="zh-CN"/>
        </w:rPr>
        <w:t>申报标准</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1.经营主体规范</w:t>
      </w:r>
      <w:r>
        <w:rPr>
          <w:rFonts w:hint="eastAsia" w:ascii="仿宋_GB2312" w:hAnsi="仿宋_GB2312" w:eastAsia="仿宋_GB2312" w:cs="仿宋_GB2312"/>
          <w:sz w:val="32"/>
          <w:szCs w:val="32"/>
          <w:u w:val="none"/>
          <w:lang w:eastAsia="zh-CN"/>
        </w:rPr>
        <w:t>。申报主体为本市区域内从事林下中药材种植的企事业单位、专业合作组织、家庭林场、种植大户等，林地权属明晰；无违法违规经营记录、无失信行为。</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2.地域特色明显</w:t>
      </w:r>
      <w:r>
        <w:rPr>
          <w:rFonts w:hint="eastAsia" w:ascii="仿宋_GB2312" w:hAnsi="仿宋_GB2312" w:eastAsia="仿宋_GB2312" w:cs="仿宋_GB2312"/>
          <w:sz w:val="32"/>
          <w:szCs w:val="32"/>
          <w:u w:val="none"/>
          <w:lang w:eastAsia="zh-CN"/>
        </w:rPr>
        <w:t>。主栽药材在区域内有野生道地药材资源分布，能从历史文献中找出主栽药材道地性的历史成因或依据证明，具有一定的文化底蕴和历史传承。</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3.栽培模式合理。</w:t>
      </w:r>
      <w:r>
        <w:rPr>
          <w:rFonts w:hint="eastAsia" w:ascii="仿宋_GB2312" w:hAnsi="仿宋_GB2312" w:eastAsia="仿宋_GB2312" w:cs="仿宋_GB2312"/>
          <w:sz w:val="32"/>
          <w:szCs w:val="32"/>
          <w:u w:val="none"/>
          <w:lang w:eastAsia="zh-CN"/>
        </w:rPr>
        <w:t>根据林地类型和林分生长状况，选择种源清晰、性状稳定、适合当地栽培的优势品种；栽培面积在100亩以上，且相对集中连片。</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4.科技支撑有力。</w:t>
      </w:r>
      <w:r>
        <w:rPr>
          <w:rFonts w:hint="eastAsia" w:ascii="仿宋_GB2312" w:hAnsi="仿宋_GB2312" w:eastAsia="仿宋_GB2312" w:cs="仿宋_GB2312"/>
          <w:sz w:val="32"/>
          <w:szCs w:val="32"/>
          <w:u w:val="none"/>
          <w:lang w:eastAsia="zh-CN"/>
        </w:rPr>
        <w:t>种植技术成熟，拥有2人以上的技术骨干团队，常驻种植基地从事科技开发、科技咨询、科技培训与服务等工作。</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5.质量管理到位</w:t>
      </w:r>
      <w:r>
        <w:rPr>
          <w:rFonts w:hint="eastAsia" w:ascii="仿宋_GB2312" w:hAnsi="仿宋_GB2312" w:eastAsia="仿宋_GB2312" w:cs="仿宋_GB2312"/>
          <w:sz w:val="32"/>
          <w:szCs w:val="32"/>
          <w:u w:val="none"/>
          <w:lang w:eastAsia="zh-CN"/>
        </w:rPr>
        <w:t>。严格按照中药材种子种苗、林下种植等行业（地方）标准组织生产，建立完整的生产过程和经营记录档案，药（食）材质量符合相关规定。</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6.示范作用显著。</w:t>
      </w:r>
      <w:r>
        <w:rPr>
          <w:rFonts w:hint="eastAsia" w:ascii="仿宋_GB2312" w:hAnsi="仿宋_GB2312" w:eastAsia="仿宋_GB2312" w:cs="仿宋_GB2312"/>
          <w:sz w:val="32"/>
          <w:szCs w:val="32"/>
          <w:u w:val="none"/>
          <w:lang w:eastAsia="zh-CN"/>
        </w:rPr>
        <w:t>在本区域内具有一定的影响力和知名度，诚实守信、依法经营，对区域经济发展、农民就业增收能起到示范带动作用。</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7.专项示范基地附加要求：</w:t>
      </w:r>
      <w:r>
        <w:rPr>
          <w:rFonts w:hint="eastAsia" w:ascii="仿宋_GB2312" w:hAnsi="仿宋_GB2312" w:eastAsia="仿宋_GB2312" w:cs="仿宋_GB2312"/>
          <w:sz w:val="32"/>
          <w:szCs w:val="32"/>
          <w:u w:val="none"/>
          <w:lang w:eastAsia="zh-CN"/>
        </w:rPr>
        <w:t>水肥一体化示范基地需具备完善的水肥一体化灌溉设施（包括水源工程、首部枢纽、输配水管网、田间灌溉装置等），设施运行正常且能覆盖全部种植区域；森林药材产学研基地需投入运营2年以上，具备固定的教学实训场地、实训设施和专业师资，年均开展研学或培训不少于3场次。</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二、补助标准</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对100亩以上森林药材种植示范基地，按5万元/个标准奖补；对森林药材产学研基地、100亩以上水肥一体化示范基地，按10万元/个标准奖补。与省、市等其他示范基地不重复领取。</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三、申报程序</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sz w:val="32"/>
          <w:szCs w:val="32"/>
          <w:u w:val="none"/>
          <w:lang w:eastAsia="zh-CN"/>
        </w:rPr>
      </w:pPr>
      <w:r>
        <w:rPr>
          <w:rFonts w:hint="eastAsia" w:ascii="楷体_GB2312" w:hAnsi="楷体_GB2312" w:eastAsia="楷体_GB2312" w:cs="楷体_GB2312"/>
          <w:b/>
          <w:bCs/>
          <w:sz w:val="32"/>
          <w:szCs w:val="32"/>
          <w:u w:val="none"/>
          <w:lang w:eastAsia="zh-CN"/>
        </w:rPr>
        <w:t>（一）申报流程</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1.自主申请。</w:t>
      </w:r>
      <w:r>
        <w:rPr>
          <w:rFonts w:hint="eastAsia" w:ascii="仿宋_GB2312" w:hAnsi="仿宋_GB2312" w:eastAsia="仿宋_GB2312" w:cs="仿宋_GB2312"/>
          <w:sz w:val="32"/>
          <w:szCs w:val="32"/>
          <w:u w:val="none"/>
          <w:lang w:eastAsia="zh-CN"/>
        </w:rPr>
        <w:t>申报主体本着自愿原则，在当年6月前，向所在乡镇（街道）林业工作站提交书面申请及相关佐证材料。</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2.乡镇审核。</w:t>
      </w:r>
      <w:r>
        <w:rPr>
          <w:rFonts w:hint="eastAsia" w:ascii="仿宋_GB2312" w:hAnsi="仿宋_GB2312" w:eastAsia="仿宋_GB2312" w:cs="仿宋_GB2312"/>
          <w:sz w:val="32"/>
          <w:szCs w:val="32"/>
          <w:u w:val="none"/>
          <w:lang w:eastAsia="zh-CN"/>
        </w:rPr>
        <w:t>乡镇（街道）对申报材料的完整性、真实性、合规性进行审核，并开展实地核查，形成审核意见。对审核通过的，签署推荐意见后报送市林业局；对审核未通过的，书面告知申报主体并说明理由。</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3.市级核查与评审。</w:t>
      </w:r>
      <w:r>
        <w:rPr>
          <w:rFonts w:hint="eastAsia" w:ascii="仿宋_GB2312" w:hAnsi="仿宋_GB2312" w:eastAsia="仿宋_GB2312" w:cs="仿宋_GB2312"/>
          <w:sz w:val="32"/>
          <w:szCs w:val="32"/>
          <w:u w:val="none"/>
          <w:lang w:eastAsia="zh-CN"/>
        </w:rPr>
        <w:t>市林业局开展实地核查（核查内容包括种植面积、品种真实性、设施建设、生产档案、带动效应等），并根据核查结果对照评分标准进行量化打分，择优选定候选示范基地名单。</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4.公示认定。</w:t>
      </w:r>
      <w:r>
        <w:rPr>
          <w:rFonts w:hint="eastAsia" w:ascii="仿宋_GB2312" w:hAnsi="仿宋_GB2312" w:eastAsia="仿宋_GB2312" w:cs="仿宋_GB2312"/>
          <w:sz w:val="32"/>
          <w:szCs w:val="32"/>
          <w:u w:val="none"/>
          <w:lang w:eastAsia="zh-CN"/>
        </w:rPr>
        <w:t>候选示范基地名单公示5个工作日。公示期间无异议的，认定为“高安市森林药材示范基地”；公示期间有异议的，进行复核，复核不合格的，取消候选资格并书面告知申报主体。</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sz w:val="32"/>
          <w:szCs w:val="32"/>
          <w:u w:val="none"/>
          <w:lang w:eastAsia="zh-CN"/>
        </w:rPr>
      </w:pPr>
      <w:r>
        <w:rPr>
          <w:rFonts w:hint="eastAsia" w:ascii="楷体_GB2312" w:hAnsi="楷体_GB2312" w:eastAsia="楷体_GB2312" w:cs="楷体_GB2312"/>
          <w:b/>
          <w:bCs/>
          <w:sz w:val="32"/>
          <w:szCs w:val="32"/>
          <w:u w:val="none"/>
          <w:lang w:eastAsia="zh-CN"/>
        </w:rPr>
        <w:t>（二）申报材料</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申报主体需提交以下材料，并确保材料完整、真实、准确，加盖单位公章（个人申报需签字按手印），装订成册，一式贰份（市林业局、乡镇各存壹份）：</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1.《高安市森林药材示范基地申报表》；</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2.申报主体资质证明材料：企事业单位提供营业执照、法人身份证明；专业合作组织提供合作社登记证书、章程、负责人身份证明；家庭林场、种植大户提供身份证明；</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3.林地权属证明材料：林地承包协议、林权证或不动产权证书（复印件）；</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4.基地生产经营相关材料：①生产质量控制制度和措施（包括投入品采购与使用管理、生产过程管控、质量检测等）；②生产经营档案（近1-3年的种子种苗来源记录、种植日志、投入品使用记录、采收加工记录、销售记录等）；③实施的技术标准文本及标准化生产模式图；④质量追溯体系建设相关材料（如追溯平台备案证明、追溯码使用记录等）；</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5.基地区位与规模证明材料：1:10000比例尺小班图（需标注地块边界、面积、种植品种等信息）；</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6.专项示范基地佐证材料：水肥一体化示范基地需提供灌溉设施相关佐证；产学研基地需提供运营年限证明、教学实训场地与设施清单、产学研合作项目协议、培训活动记录等；</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7.其他佐证材料：基地实景照片（不同角度、不同生长阶段的种植区、设施区、办公区照片，不少于6张），以及其他能证明符合申报条件的材料。</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四、资金发放</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仿宋_GB2312" w:hAnsi="仿宋_GB2312" w:eastAsia="仿宋_GB2312" w:cs="仿宋_GB2312"/>
          <w:sz w:val="32"/>
          <w:szCs w:val="32"/>
          <w:u w:val="none"/>
          <w:lang w:eastAsia="zh-CN"/>
        </w:rPr>
        <w:t>经认定的示范基地，由市林业局会同市财政局于认定后第三年对照认定标准组织验收，验收合格的将补助资金足额拨付至申报主体账户；验收不合格的，取消示范基地资格</w:t>
      </w:r>
      <w:r>
        <w:rPr>
          <w:rFonts w:hint="eastAsia" w:ascii="黑体" w:hAnsi="黑体" w:eastAsia="黑体" w:cs="黑体"/>
          <w:sz w:val="32"/>
          <w:szCs w:val="32"/>
          <w:u w:val="none"/>
          <w:lang w:eastAsia="zh-CN"/>
        </w:rPr>
        <w:t>。</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五、监测管理与退出机制</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sz w:val="32"/>
          <w:szCs w:val="32"/>
          <w:u w:val="none"/>
          <w:lang w:eastAsia="zh-CN"/>
        </w:rPr>
      </w:pPr>
      <w:r>
        <w:rPr>
          <w:rFonts w:hint="eastAsia" w:ascii="楷体_GB2312" w:hAnsi="楷体_GB2312" w:eastAsia="楷体_GB2312" w:cs="楷体_GB2312"/>
          <w:b/>
          <w:bCs/>
          <w:sz w:val="32"/>
          <w:szCs w:val="32"/>
          <w:u w:val="none"/>
          <w:lang w:eastAsia="zh-CN"/>
        </w:rPr>
        <w:t>（一）动态监测</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高安市森林药材示范基地实行动态管理机制，由市林业局牵头，联合乡镇（街道）林业工作站开展定期与不定期监测：</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1.定期监测：</w:t>
      </w:r>
      <w:r>
        <w:rPr>
          <w:rFonts w:hint="eastAsia" w:ascii="仿宋_GB2312" w:hAnsi="仿宋_GB2312" w:eastAsia="仿宋_GB2312" w:cs="仿宋_GB2312"/>
          <w:sz w:val="32"/>
          <w:szCs w:val="32"/>
          <w:u w:val="none"/>
          <w:lang w:eastAsia="zh-CN"/>
        </w:rPr>
        <w:t>认定后第二年，开展一次全面监测，监测内容包括基地种植规模保持情况、生产管理水平、质量安全状况、示范带动效应等，并形成监测报告；</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2.不定期抽查：</w:t>
      </w:r>
      <w:r>
        <w:rPr>
          <w:rFonts w:hint="eastAsia" w:ascii="仿宋_GB2312" w:hAnsi="仿宋_GB2312" w:eastAsia="仿宋_GB2312" w:cs="仿宋_GB2312"/>
          <w:sz w:val="32"/>
          <w:szCs w:val="32"/>
          <w:u w:val="none"/>
          <w:lang w:eastAsia="zh-CN"/>
        </w:rPr>
        <w:t>根据工作需要，随机对示范基地进行抽查，及时发现和解决问题。</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sz w:val="32"/>
          <w:szCs w:val="32"/>
          <w:u w:val="none"/>
          <w:lang w:eastAsia="zh-CN"/>
        </w:rPr>
      </w:pPr>
      <w:r>
        <w:rPr>
          <w:rFonts w:hint="eastAsia" w:ascii="楷体_GB2312" w:hAnsi="楷体_GB2312" w:eastAsia="楷体_GB2312" w:cs="楷体_GB2312"/>
          <w:b/>
          <w:bCs/>
          <w:sz w:val="32"/>
          <w:szCs w:val="32"/>
          <w:u w:val="none"/>
          <w:lang w:eastAsia="zh-CN"/>
        </w:rPr>
        <w:t>（二）退出机制</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示范基地有下列情形之一的，经市林业局核实后，取消其“高安市森林药材示范基地”资格，停止享受补助政策；已领取补助资金的，依法追回违规领取的资金；涉嫌违法犯罪的，移交司法机关处理：</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1.在申报过程中提供虚假申报材料、伪造佐证文件或存在舞弊行为的；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2.药材质量、种植基地产地环境经监督抽查不符合《中华人民共和国药典》及相关行业标准要求，复检仍不合格的；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3.基地管理不善，未按要求开展抚育、施肥、病虫害防治等日常管理措施，导致药材成活率低于85%，且限期整改后仍未达标的；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4.未经批准擅自改变基地用途（如改种非补助品种、违规采伐林木、占用林地从事非种植经营活动等）的；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5.违反国家相关法律法规和政策规定，存在违法经营行为，或发生重大安全生产事故、质量安全事故、环境污染事故的；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6.不配合监测检查工作，拒绝提供生产经营档案、资金使用台账等相关材料，或隐瞒真实情况、弄虚作假的；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7.产学研基地无正当理由停止运营6个月以上的。</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u w:val="none"/>
          <w:lang w:eastAsia="zh-CN"/>
        </w:rPr>
      </w:pPr>
      <w:r>
        <w:rPr>
          <w:rFonts w:hint="eastAsia" w:ascii="黑体" w:hAnsi="黑体" w:eastAsia="黑体" w:cs="黑体"/>
          <w:sz w:val="32"/>
          <w:szCs w:val="32"/>
          <w:u w:val="none"/>
          <w:lang w:eastAsia="zh-CN"/>
        </w:rPr>
        <w:t>六、附则</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1.本细则由高安市林业局负责解释。</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2.本细则未尽事宜，按照国家、省、市相关法律法规和政策规定执行。</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3.本细则自发布之日起试行，有效期5年。试行期间，如遇国家、省、市相关政策调整，按最新政策执行。</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国标仿宋-GB/T 2312" w:hAnsi="国标仿宋-GB/T 2312" w:eastAsia="国标仿宋-GB/T 2312" w:cs="国标仿宋-GB/T 2312"/>
          <w:sz w:val="32"/>
          <w:szCs w:val="32"/>
          <w:u w:val="none"/>
          <w:lang w:eastAsia="zh-CN"/>
        </w:rPr>
      </w:pPr>
    </w:p>
    <w:p>
      <w:pPr>
        <w:spacing w:line="560" w:lineRule="exact"/>
        <w:jc w:val="both"/>
        <w:rPr>
          <w:rFonts w:hint="eastAsia" w:ascii="国标仿宋-GB/T 2312" w:hAnsi="国标仿宋-GB/T 2312" w:eastAsia="国标仿宋-GB/T 2312" w:cs="国标仿宋-GB/T 2312"/>
          <w:b w:val="0"/>
          <w:bCs w:val="0"/>
          <w:color w:val="auto"/>
          <w:spacing w:val="-6"/>
          <w:sz w:val="32"/>
          <w:szCs w:val="32"/>
          <w:highlight w:val="none"/>
          <w:lang w:val="en-US" w:eastAsia="zh-CN"/>
        </w:rPr>
      </w:pPr>
      <w:r>
        <w:rPr>
          <w:rFonts w:hint="eastAsia" w:ascii="国标仿宋-GB/T 2312" w:hAnsi="国标仿宋-GB/T 2312" w:eastAsia="国标仿宋-GB/T 2312" w:cs="国标仿宋-GB/T 2312"/>
          <w:b w:val="0"/>
          <w:bCs w:val="0"/>
          <w:color w:val="auto"/>
          <w:spacing w:val="-6"/>
          <w:sz w:val="32"/>
          <w:szCs w:val="32"/>
          <w:highlight w:val="none"/>
          <w:lang w:eastAsia="zh-CN"/>
        </w:rPr>
        <w:t>附件</w:t>
      </w:r>
      <w:r>
        <w:rPr>
          <w:rFonts w:hint="eastAsia" w:ascii="国标仿宋-GB/T 2312" w:hAnsi="国标仿宋-GB/T 2312" w:eastAsia="国标仿宋-GB/T 2312" w:cs="国标仿宋-GB/T 2312"/>
          <w:b w:val="0"/>
          <w:bCs w:val="0"/>
          <w:color w:val="auto"/>
          <w:spacing w:val="-6"/>
          <w:sz w:val="32"/>
          <w:szCs w:val="32"/>
          <w:highlight w:val="none"/>
          <w:lang w:val="en-US" w:eastAsia="zh-CN"/>
        </w:rPr>
        <w:t>2：</w:t>
      </w:r>
    </w:p>
    <w:p>
      <w:pPr>
        <w:spacing w:line="560" w:lineRule="exact"/>
        <w:jc w:val="center"/>
        <w:rPr>
          <w:rFonts w:hint="eastAsia" w:ascii="方正小标宋简体" w:hAnsi="方正小标宋简体" w:eastAsia="方正小标宋简体" w:cs="方正小标宋简体"/>
          <w:b w:val="0"/>
          <w:bCs w:val="0"/>
          <w:color w:val="auto"/>
          <w:spacing w:val="-6"/>
          <w:sz w:val="44"/>
          <w:szCs w:val="32"/>
          <w:highlight w:val="none"/>
        </w:rPr>
      </w:pPr>
      <w:r>
        <w:rPr>
          <w:rFonts w:hint="eastAsia" w:ascii="方正小标宋简体" w:hAnsi="方正小标宋简体" w:eastAsia="方正小标宋简体" w:cs="方正小标宋简体"/>
          <w:b w:val="0"/>
          <w:bCs w:val="0"/>
          <w:color w:val="auto"/>
          <w:spacing w:val="-6"/>
          <w:sz w:val="44"/>
          <w:szCs w:val="32"/>
          <w:highlight w:val="none"/>
          <w:lang w:eastAsia="zh-CN"/>
        </w:rPr>
        <w:t>高安市森林药材</w:t>
      </w:r>
      <w:r>
        <w:rPr>
          <w:rFonts w:hint="eastAsia" w:ascii="方正小标宋简体" w:hAnsi="方正小标宋简体" w:eastAsia="方正小标宋简体" w:cs="方正小标宋简体"/>
          <w:b w:val="0"/>
          <w:bCs w:val="0"/>
          <w:color w:val="auto"/>
          <w:spacing w:val="-6"/>
          <w:sz w:val="44"/>
          <w:szCs w:val="32"/>
          <w:highlight w:val="none"/>
        </w:rPr>
        <w:t>示范基地申报表</w:t>
      </w:r>
    </w:p>
    <w:tbl>
      <w:tblPr>
        <w:tblStyle w:val="9"/>
        <w:tblW w:w="89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69"/>
        <w:gridCol w:w="2475"/>
        <w:gridCol w:w="1228"/>
        <w:gridCol w:w="1142"/>
        <w:gridCol w:w="23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4" w:hRule="atLeast"/>
          <w:jc w:val="center"/>
        </w:trPr>
        <w:tc>
          <w:tcPr>
            <w:tcW w:w="1769"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基地名称</w:t>
            </w:r>
          </w:p>
        </w:tc>
        <w:tc>
          <w:tcPr>
            <w:tcW w:w="7153" w:type="dxa"/>
            <w:gridSpan w:val="4"/>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4" w:hRule="atLeast"/>
          <w:jc w:val="center"/>
        </w:trPr>
        <w:tc>
          <w:tcPr>
            <w:tcW w:w="1769"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基地地点</w:t>
            </w:r>
          </w:p>
        </w:tc>
        <w:tc>
          <w:tcPr>
            <w:tcW w:w="7153" w:type="dxa"/>
            <w:gridSpan w:val="4"/>
            <w:tcBorders>
              <w:top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4" w:hRule="atLeast"/>
          <w:jc w:val="center"/>
        </w:trPr>
        <w:tc>
          <w:tcPr>
            <w:tcW w:w="1769"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实施主体</w:t>
            </w:r>
          </w:p>
        </w:tc>
        <w:tc>
          <w:tcPr>
            <w:tcW w:w="2475"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p>
        </w:tc>
        <w:tc>
          <w:tcPr>
            <w:tcW w:w="2370" w:type="dxa"/>
            <w:gridSpan w:val="2"/>
            <w:tcBorders>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带动户数</w:t>
            </w:r>
          </w:p>
        </w:tc>
        <w:tc>
          <w:tcPr>
            <w:tcW w:w="2308" w:type="dxa"/>
            <w:tcBorders>
              <w:lef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4" w:hRule="atLeast"/>
          <w:jc w:val="center"/>
        </w:trPr>
        <w:tc>
          <w:tcPr>
            <w:tcW w:w="1769" w:type="dxa"/>
            <w:tcBorders>
              <w:top w:val="single" w:color="auto" w:sz="4" w:space="0"/>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开户名</w:t>
            </w:r>
          </w:p>
        </w:tc>
        <w:tc>
          <w:tcPr>
            <w:tcW w:w="7153" w:type="dxa"/>
            <w:gridSpan w:val="4"/>
            <w:tcBorders>
              <w:top w:val="single" w:color="auto" w:sz="4" w:space="0"/>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4" w:hRule="atLeast"/>
          <w:jc w:val="center"/>
        </w:trPr>
        <w:tc>
          <w:tcPr>
            <w:tcW w:w="1769" w:type="dxa"/>
            <w:tcBorders>
              <w:top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开户行</w:t>
            </w:r>
          </w:p>
        </w:tc>
        <w:tc>
          <w:tcPr>
            <w:tcW w:w="2475" w:type="dxa"/>
            <w:tcBorders>
              <w:top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p>
        </w:tc>
        <w:tc>
          <w:tcPr>
            <w:tcW w:w="122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银行账号</w:t>
            </w:r>
          </w:p>
        </w:tc>
        <w:tc>
          <w:tcPr>
            <w:tcW w:w="3450" w:type="dxa"/>
            <w:gridSpan w:val="2"/>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42" w:hRule="atLeast"/>
          <w:jc w:val="center"/>
        </w:trPr>
        <w:tc>
          <w:tcPr>
            <w:tcW w:w="1769" w:type="dxa"/>
            <w:tcBorders>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基地简介</w:t>
            </w:r>
          </w:p>
        </w:tc>
        <w:tc>
          <w:tcPr>
            <w:tcW w:w="7153" w:type="dxa"/>
            <w:gridSpan w:val="4"/>
            <w:tcBorders>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769" w:type="dxa"/>
            <w:tcBorders>
              <w:top w:val="single" w:color="auto" w:sz="4" w:space="0"/>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推荐单位意见</w:t>
            </w:r>
          </w:p>
        </w:tc>
        <w:tc>
          <w:tcPr>
            <w:tcW w:w="7153" w:type="dxa"/>
            <w:gridSpan w:val="4"/>
            <w:tcBorders>
              <w:top w:val="single" w:color="auto" w:sz="4" w:space="0"/>
              <w:bottom w:val="single" w:color="auto" w:sz="4" w:space="0"/>
            </w:tcBorders>
            <w:noWrap w:val="0"/>
            <w:tcMar>
              <w:top w:w="0" w:type="dxa"/>
              <w:left w:w="108" w:type="dxa"/>
              <w:bottom w:w="0" w:type="dxa"/>
              <w:right w:w="108" w:type="dxa"/>
            </w:tcMar>
            <w:vAlign w:val="center"/>
          </w:tcPr>
          <w:p>
            <w:pPr>
              <w:spacing w:line="560" w:lineRule="exact"/>
              <w:ind w:firstLine="4080" w:firstLineChars="17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（单位盖章）</w:t>
            </w:r>
          </w:p>
          <w:p>
            <w:pPr>
              <w:spacing w:line="560" w:lineRule="exact"/>
              <w:ind w:firstLine="600" w:firstLineChars="2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769" w:type="dxa"/>
            <w:tcBorders>
              <w:top w:val="single" w:color="auto" w:sz="4" w:space="0"/>
              <w:bottom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林业局意见</w:t>
            </w:r>
          </w:p>
        </w:tc>
        <w:tc>
          <w:tcPr>
            <w:tcW w:w="7153" w:type="dxa"/>
            <w:gridSpan w:val="4"/>
            <w:tcBorders>
              <w:top w:val="single" w:color="auto" w:sz="4" w:space="0"/>
              <w:bottom w:val="single" w:color="auto" w:sz="4" w:space="0"/>
            </w:tcBorders>
            <w:noWrap w:val="0"/>
            <w:tcMar>
              <w:top w:w="0" w:type="dxa"/>
              <w:left w:w="108" w:type="dxa"/>
              <w:bottom w:w="0" w:type="dxa"/>
              <w:right w:w="108" w:type="dxa"/>
            </w:tcMar>
            <w:vAlign w:val="center"/>
          </w:tcPr>
          <w:p>
            <w:pPr>
              <w:spacing w:line="560" w:lineRule="exact"/>
              <w:ind w:firstLine="4080" w:firstLineChars="17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（单位盖章）         </w:t>
            </w:r>
          </w:p>
          <w:p>
            <w:pPr>
              <w:spacing w:line="560" w:lineRule="exact"/>
              <w:ind w:firstLine="600" w:firstLineChars="2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年  月  日</w:t>
            </w:r>
          </w:p>
        </w:tc>
      </w:tr>
    </w:tbl>
    <w:p>
      <w:pPr>
        <w:spacing w:line="56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填报人：                           联系电话：</w:t>
      </w:r>
    </w:p>
    <w:p>
      <w:pPr>
        <w:suppressAutoHyphens/>
        <w:bidi w:val="0"/>
        <w:spacing w:line="560" w:lineRule="exact"/>
        <w:ind w:right="965" w:rightChars="460"/>
        <w:jc w:val="left"/>
        <w:rPr>
          <w:rFonts w:hint="eastAsia" w:ascii="方正黑体_GBK" w:hAnsi="方正黑体_GBK" w:eastAsia="方正黑体_GBK" w:cs="方正黑体_GBK"/>
          <w:color w:val="auto"/>
          <w:sz w:val="30"/>
          <w:szCs w:val="30"/>
        </w:rPr>
      </w:pPr>
    </w:p>
    <w:p>
      <w:pPr>
        <w:suppressAutoHyphens/>
        <w:bidi w:val="0"/>
        <w:spacing w:line="560" w:lineRule="exact"/>
        <w:ind w:right="965" w:rightChars="460"/>
        <w:jc w:val="left"/>
        <w:rPr>
          <w:rFonts w:hint="default" w:ascii="方正黑体_GBK" w:hAnsi="方正黑体_GBK" w:eastAsia="方正黑体_GBK" w:cs="方正黑体_GBK"/>
          <w:color w:val="auto"/>
          <w:sz w:val="30"/>
          <w:szCs w:val="30"/>
          <w:lang w:val="en-US" w:eastAsia="zh-CN"/>
        </w:rPr>
      </w:pPr>
      <w:r>
        <w:rPr>
          <w:rFonts w:hint="eastAsia" w:ascii="方正黑体_GBK" w:hAnsi="方正黑体_GBK" w:eastAsia="方正黑体_GBK" w:cs="方正黑体_GBK"/>
          <w:color w:val="auto"/>
          <w:sz w:val="30"/>
          <w:szCs w:val="30"/>
        </w:rPr>
        <w:t>附</w:t>
      </w:r>
      <w:r>
        <w:rPr>
          <w:rFonts w:hint="eastAsia" w:ascii="方正黑体_GBK" w:hAnsi="方正黑体_GBK" w:eastAsia="方正黑体_GBK" w:cs="方正黑体_GBK"/>
          <w:color w:val="auto"/>
          <w:sz w:val="30"/>
          <w:szCs w:val="30"/>
          <w:lang w:eastAsia="zh-CN"/>
        </w:rPr>
        <w:t>件</w:t>
      </w:r>
      <w:r>
        <w:rPr>
          <w:rFonts w:hint="eastAsia" w:ascii="方正黑体_GBK" w:hAnsi="方正黑体_GBK" w:eastAsia="方正黑体_GBK" w:cs="方正黑体_GBK"/>
          <w:color w:val="auto"/>
          <w:sz w:val="30"/>
          <w:szCs w:val="30"/>
          <w:lang w:val="en-US" w:eastAsia="zh-CN"/>
        </w:rPr>
        <w:t>3</w:t>
      </w:r>
    </w:p>
    <w:p>
      <w:pPr>
        <w:keepNext w:val="0"/>
        <w:keepLines w:val="0"/>
        <w:pageBreakBefore w:val="0"/>
        <w:widowControl w:val="0"/>
        <w:shd w:val="clear" w:color="auto" w:fill="auto"/>
        <w:suppressAutoHyphens/>
        <w:kinsoku/>
        <w:wordWrap/>
        <w:overflowPunct/>
        <w:topLinePunct w:val="0"/>
        <w:autoSpaceDE/>
        <w:autoSpaceDN/>
        <w:bidi w:val="0"/>
        <w:adjustRightInd/>
        <w:snapToGrid/>
        <w:spacing w:before="0" w:beforeLines="0" w:after="0" w:afterLines="0" w:line="560" w:lineRule="exact"/>
        <w:ind w:firstLine="0" w:firstLineChars="0"/>
        <w:jc w:val="center"/>
        <w:textAlignment w:val="auto"/>
        <w:rPr>
          <w:rFonts w:hint="eastAsia" w:ascii="Calibri" w:hAnsi="Calibri" w:eastAsia="宋体" w:cs="Times New Roman"/>
          <w:color w:val="auto"/>
          <w:sz w:val="40"/>
          <w:szCs w:val="40"/>
          <w:lang w:eastAsia="zh-CN"/>
        </w:rPr>
      </w:pPr>
      <w:r>
        <w:rPr>
          <w:rFonts w:hint="eastAsia" w:ascii="方正小标宋_GBK" w:hAnsi="方正小标宋_GBK" w:eastAsia="方正小标宋_GBK" w:cs="方正小标宋_GBK"/>
          <w:color w:val="auto"/>
          <w:sz w:val="40"/>
          <w:szCs w:val="40"/>
          <w:lang w:eastAsia="zh-CN"/>
        </w:rPr>
        <w:t>森林药材</w:t>
      </w:r>
      <w:r>
        <w:rPr>
          <w:rFonts w:hint="eastAsia" w:ascii="方正小标宋_GBK" w:hAnsi="方正小标宋_GBK" w:eastAsia="方正小标宋_GBK" w:cs="方正小标宋_GBK"/>
          <w:color w:val="auto"/>
          <w:sz w:val="40"/>
          <w:szCs w:val="40"/>
        </w:rPr>
        <w:t>示范</w:t>
      </w:r>
      <w:r>
        <w:rPr>
          <w:rFonts w:hint="eastAsia" w:ascii="方正小标宋_GBK" w:hAnsi="方正小标宋_GBK" w:eastAsia="方正小标宋_GBK" w:cs="方正小标宋_GBK"/>
          <w:color w:val="auto"/>
          <w:sz w:val="40"/>
          <w:szCs w:val="40"/>
          <w:lang w:eastAsia="zh-CN"/>
        </w:rPr>
        <w:t>基地考核评价表</w:t>
      </w:r>
    </w:p>
    <w:p>
      <w:pPr>
        <w:spacing w:line="360" w:lineRule="exact"/>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sz w:val="24"/>
          <w:szCs w:val="28"/>
          <w:lang w:val="en" w:eastAsia="zh-CN"/>
        </w:rPr>
        <w:t>基地名称：</w:t>
      </w:r>
      <w:r>
        <w:rPr>
          <w:rFonts w:hint="eastAsia" w:ascii="方正黑体_GBK" w:hAnsi="方正黑体_GBK" w:eastAsia="方正黑体_GBK" w:cs="方正黑体_GBK"/>
          <w:sz w:val="24"/>
          <w:szCs w:val="28"/>
          <w:lang w:val="en-US" w:eastAsia="zh-CN"/>
        </w:rPr>
        <w:t xml:space="preserve">                    类型：                       总分</w:t>
      </w:r>
      <w:r>
        <w:rPr>
          <w:rFonts w:hint="eastAsia" w:ascii="方正黑体_GBK" w:hAnsi="方正黑体_GBK" w:eastAsia="方正黑体_GBK" w:cs="方正黑体_GBK"/>
          <w:lang w:val="en-US" w:eastAsia="zh-CN"/>
        </w:rPr>
        <w:t>：</w:t>
      </w:r>
    </w:p>
    <w:tbl>
      <w:tblPr>
        <w:tblStyle w:val="9"/>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820"/>
        <w:gridCol w:w="3959"/>
        <w:gridCol w:w="89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noWrap w:val="0"/>
            <w:vAlign w:val="center"/>
          </w:tcPr>
          <w:p>
            <w:pPr>
              <w:suppressAutoHyphens/>
              <w:bidi w:val="0"/>
              <w:spacing w:line="360" w:lineRule="exact"/>
              <w:ind w:firstLine="0" w:firstLineChars="0"/>
              <w:jc w:val="center"/>
              <w:rPr>
                <w:rFonts w:hint="eastAsia"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sz w:val="28"/>
                <w:szCs w:val="28"/>
              </w:rPr>
              <w:t>一级指标</w:t>
            </w:r>
          </w:p>
        </w:tc>
        <w:tc>
          <w:tcPr>
            <w:tcW w:w="1820" w:type="dxa"/>
            <w:noWrap w:val="0"/>
            <w:vAlign w:val="center"/>
          </w:tcPr>
          <w:p>
            <w:pPr>
              <w:suppressAutoHyphens/>
              <w:bidi w:val="0"/>
              <w:spacing w:line="360" w:lineRule="exact"/>
              <w:ind w:firstLine="0" w:firstLineChars="0"/>
              <w:jc w:val="center"/>
              <w:rPr>
                <w:rFonts w:hint="eastAsia"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sz w:val="28"/>
                <w:szCs w:val="28"/>
                <w:lang w:eastAsia="zh-CN"/>
              </w:rPr>
              <w:t>二</w:t>
            </w:r>
            <w:r>
              <w:rPr>
                <w:rFonts w:hint="eastAsia" w:ascii="方正黑体_GBK" w:hAnsi="方正黑体_GBK" w:eastAsia="方正黑体_GBK" w:cs="方正黑体_GBK"/>
                <w:color w:val="auto"/>
                <w:sz w:val="28"/>
                <w:szCs w:val="28"/>
              </w:rPr>
              <w:t>级指标</w:t>
            </w:r>
          </w:p>
        </w:tc>
        <w:tc>
          <w:tcPr>
            <w:tcW w:w="3959" w:type="dxa"/>
            <w:noWrap w:val="0"/>
            <w:vAlign w:val="center"/>
          </w:tcPr>
          <w:p>
            <w:pPr>
              <w:suppressAutoHyphens/>
              <w:bidi w:val="0"/>
              <w:spacing w:line="360" w:lineRule="exact"/>
              <w:ind w:firstLine="0" w:firstLineChars="0"/>
              <w:jc w:val="center"/>
              <w:rPr>
                <w:rFonts w:hint="eastAsia"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sz w:val="28"/>
                <w:szCs w:val="28"/>
                <w:lang w:eastAsia="zh-CN"/>
              </w:rPr>
              <w:t>参考标准</w:t>
            </w:r>
          </w:p>
        </w:tc>
        <w:tc>
          <w:tcPr>
            <w:tcW w:w="895" w:type="dxa"/>
            <w:noWrap w:val="0"/>
            <w:vAlign w:val="center"/>
          </w:tcPr>
          <w:p>
            <w:pPr>
              <w:suppressAutoHyphens/>
              <w:bidi w:val="0"/>
              <w:spacing w:line="360" w:lineRule="exact"/>
              <w:ind w:firstLine="0" w:firstLineChars="0"/>
              <w:jc w:val="center"/>
              <w:rPr>
                <w:rFonts w:hint="eastAsia"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sz w:val="28"/>
                <w:szCs w:val="28"/>
              </w:rPr>
              <w:t>赋值</w:t>
            </w:r>
          </w:p>
        </w:tc>
        <w:tc>
          <w:tcPr>
            <w:tcW w:w="814" w:type="dxa"/>
            <w:noWrap w:val="0"/>
            <w:vAlign w:val="center"/>
          </w:tcPr>
          <w:p>
            <w:pPr>
              <w:suppressAutoHyphens/>
              <w:bidi w:val="0"/>
              <w:spacing w:line="360" w:lineRule="exact"/>
              <w:ind w:firstLine="0" w:firstLineChars="0"/>
              <w:jc w:val="center"/>
              <w:rPr>
                <w:rFonts w:hint="eastAsia" w:ascii="方正黑体_GBK" w:hAnsi="方正黑体_GBK" w:eastAsia="方正黑体_GBK" w:cs="方正黑体_GBK"/>
                <w:color w:val="auto"/>
                <w:sz w:val="28"/>
                <w:szCs w:val="28"/>
                <w:lang w:eastAsia="zh-CN"/>
              </w:rPr>
            </w:pPr>
            <w:r>
              <w:rPr>
                <w:rFonts w:hint="eastAsia" w:ascii="方正黑体_GBK" w:hAnsi="方正黑体_GBK" w:eastAsia="方正黑体_GBK" w:cs="方正黑体_GBK"/>
                <w:color w:val="auto"/>
                <w:sz w:val="28"/>
                <w:szCs w:val="28"/>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restart"/>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基本情况</w:t>
            </w:r>
          </w:p>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w:t>
            </w:r>
            <w:r>
              <w:rPr>
                <w:rFonts w:hint="eastAsia" w:ascii="方正仿宋_GBK" w:hAnsi="方正仿宋_GBK" w:eastAsia="方正仿宋_GBK" w:cs="方正仿宋_GBK"/>
                <w:color w:val="auto"/>
                <w:sz w:val="22"/>
                <w:szCs w:val="22"/>
                <w:lang w:val="en-US" w:eastAsia="zh-CN"/>
              </w:rPr>
              <w:t>50</w:t>
            </w:r>
            <w:r>
              <w:rPr>
                <w:rFonts w:hint="eastAsia" w:ascii="方正仿宋_GBK" w:hAnsi="方正仿宋_GBK" w:eastAsia="方正仿宋_GBK" w:cs="方正仿宋_GBK"/>
                <w:color w:val="auto"/>
                <w:sz w:val="22"/>
                <w:szCs w:val="22"/>
              </w:rPr>
              <w:t>分）</w:t>
            </w:r>
          </w:p>
        </w:tc>
        <w:tc>
          <w:tcPr>
            <w:tcW w:w="1820" w:type="dxa"/>
            <w:noWrap w:val="0"/>
            <w:vAlign w:val="center"/>
          </w:tcPr>
          <w:p>
            <w:pPr>
              <w:suppressAutoHyphens/>
              <w:bidi w:val="0"/>
              <w:spacing w:line="260" w:lineRule="exact"/>
              <w:jc w:val="center"/>
              <w:rPr>
                <w:rFonts w:hint="eastAsia" w:ascii="方正仿宋_GBK" w:hAnsi="方正仿宋_GBK" w:eastAsia="方正仿宋_GBK" w:cs="方正仿宋_GBK"/>
                <w:color w:val="auto"/>
                <w:sz w:val="22"/>
                <w:szCs w:val="22"/>
                <w:highlight w:val="none"/>
                <w:lang w:eastAsia="zh-CN"/>
              </w:rPr>
            </w:pPr>
            <w:r>
              <w:rPr>
                <w:rFonts w:hint="eastAsia" w:ascii="方正仿宋_GBK" w:hAnsi="方正仿宋_GBK" w:eastAsia="方正仿宋_GBK" w:cs="方正仿宋_GBK"/>
                <w:color w:val="auto"/>
                <w:sz w:val="22"/>
                <w:szCs w:val="22"/>
                <w:highlight w:val="none"/>
                <w:lang w:eastAsia="zh-CN"/>
              </w:rPr>
              <w:t>保护森林环境、未改变林地用途</w:t>
            </w:r>
          </w:p>
        </w:tc>
        <w:tc>
          <w:tcPr>
            <w:tcW w:w="3959" w:type="dxa"/>
            <w:noWrap w:val="0"/>
            <w:vAlign w:val="center"/>
          </w:tcPr>
          <w:p>
            <w:pPr>
              <w:suppressAutoHyphens/>
              <w:bidi w:val="0"/>
              <w:spacing w:line="260" w:lineRule="exact"/>
              <w:ind w:firstLine="0" w:firstLineChars="0"/>
              <w:jc w:val="left"/>
              <w:rPr>
                <w:rFonts w:hint="eastAsia" w:ascii="方正仿宋_GBK" w:hAnsi="方正仿宋_GBK" w:eastAsia="方正仿宋_GBK" w:cs="方正仿宋_GBK"/>
                <w:color w:val="auto"/>
                <w:sz w:val="22"/>
                <w:szCs w:val="22"/>
                <w:lang w:val="en" w:eastAsia="zh-CN"/>
              </w:rPr>
            </w:pPr>
            <w:r>
              <w:rPr>
                <w:rFonts w:hint="eastAsia" w:ascii="方正仿宋_GBK" w:hAnsi="方正仿宋_GBK" w:eastAsia="方正仿宋_GBK" w:cs="方正仿宋_GBK"/>
                <w:color w:val="auto"/>
                <w:sz w:val="22"/>
                <w:szCs w:val="22"/>
                <w:lang w:val="en" w:eastAsia="zh-CN"/>
              </w:rPr>
              <w:t>有生产经营方案或生产规划</w:t>
            </w:r>
          </w:p>
        </w:tc>
        <w:tc>
          <w:tcPr>
            <w:tcW w:w="895" w:type="dxa"/>
            <w:noWrap w:val="0"/>
            <w:vAlign w:val="center"/>
          </w:tcPr>
          <w:p>
            <w:pPr>
              <w:suppressAutoHyphens/>
              <w:bidi w:val="0"/>
              <w:spacing w:line="2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lang w:eastAsia="zh-CN"/>
              </w:rPr>
              <w:t>无环境污染</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lang w:eastAsia="zh-CN"/>
              </w:rPr>
              <w:t>化肥、农药、饲料等投入品符合相关标准</w:t>
            </w:r>
          </w:p>
        </w:tc>
        <w:tc>
          <w:tcPr>
            <w:tcW w:w="895" w:type="dxa"/>
            <w:noWrap w:val="0"/>
            <w:vAlign w:val="center"/>
          </w:tcPr>
          <w:p>
            <w:pPr>
              <w:suppressAutoHyphens/>
              <w:bidi w:val="0"/>
              <w:spacing w:line="3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highlight w:val="none"/>
                <w:lang w:eastAsia="zh-CN"/>
              </w:rPr>
              <w:t>无水土流失</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val="en" w:eastAsia="zh-CN"/>
              </w:rPr>
              <w:t>具备防止水土流失措施</w:t>
            </w:r>
          </w:p>
        </w:tc>
        <w:tc>
          <w:tcPr>
            <w:tcW w:w="895" w:type="dxa"/>
            <w:noWrap w:val="0"/>
            <w:vAlign w:val="center"/>
          </w:tcPr>
          <w:p>
            <w:pPr>
              <w:suppressAutoHyphens/>
              <w:bidi w:val="0"/>
              <w:spacing w:line="3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集中连片区域总面积</w:t>
            </w:r>
          </w:p>
        </w:tc>
        <w:tc>
          <w:tcPr>
            <w:tcW w:w="3959" w:type="dxa"/>
            <w:noWrap w:val="0"/>
            <w:vAlign w:val="center"/>
          </w:tcPr>
          <w:p>
            <w:pPr>
              <w:suppressAutoHyphens/>
              <w:bidi w:val="0"/>
              <w:spacing w:line="300" w:lineRule="exact"/>
              <w:ind w:firstLine="0" w:firstLineChars="0"/>
              <w:jc w:val="left"/>
              <w:rPr>
                <w:rFonts w:hint="eastAsia"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超过100亩最低标准50%加5分，超过100%加10分。</w:t>
            </w:r>
          </w:p>
        </w:tc>
        <w:tc>
          <w:tcPr>
            <w:tcW w:w="895" w:type="dxa"/>
            <w:noWrap w:val="0"/>
            <w:vAlign w:val="center"/>
          </w:tcPr>
          <w:p>
            <w:pPr>
              <w:suppressAutoHyphens/>
              <w:bidi w:val="0"/>
              <w:spacing w:line="3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基础设施完备</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道路、水利、电力</w:t>
            </w:r>
            <w:r>
              <w:rPr>
                <w:rFonts w:hint="eastAsia" w:ascii="方正仿宋_GBK" w:hAnsi="方正仿宋_GBK" w:eastAsia="方正仿宋_GBK" w:cs="方正仿宋_GBK"/>
                <w:color w:val="auto"/>
                <w:sz w:val="22"/>
                <w:szCs w:val="22"/>
                <w:lang w:eastAsia="zh-CN"/>
              </w:rPr>
              <w:t>、通讯</w:t>
            </w:r>
            <w:r>
              <w:rPr>
                <w:rFonts w:hint="eastAsia" w:ascii="方正仿宋_GBK" w:hAnsi="方正仿宋_GBK" w:eastAsia="方正仿宋_GBK" w:cs="方正仿宋_GBK"/>
                <w:color w:val="auto"/>
                <w:sz w:val="22"/>
                <w:szCs w:val="22"/>
              </w:rPr>
              <w:t>等</w:t>
            </w:r>
          </w:p>
        </w:tc>
        <w:tc>
          <w:tcPr>
            <w:tcW w:w="895" w:type="dxa"/>
            <w:noWrap w:val="0"/>
            <w:vAlign w:val="center"/>
          </w:tcPr>
          <w:p>
            <w:pPr>
              <w:suppressAutoHyphens/>
              <w:bidi w:val="0"/>
              <w:spacing w:line="3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restart"/>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管理情况</w:t>
            </w:r>
          </w:p>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w:t>
            </w:r>
            <w:r>
              <w:rPr>
                <w:rFonts w:hint="eastAsia" w:ascii="方正仿宋_GBK" w:hAnsi="方正仿宋_GBK" w:eastAsia="方正仿宋_GBK" w:cs="方正仿宋_GBK"/>
                <w:color w:val="auto"/>
                <w:sz w:val="22"/>
                <w:szCs w:val="22"/>
                <w:lang w:val="en-US" w:eastAsia="zh-CN"/>
              </w:rPr>
              <w:t>30</w:t>
            </w:r>
            <w:r>
              <w:rPr>
                <w:rFonts w:hint="eastAsia" w:ascii="方正仿宋_GBK" w:hAnsi="方正仿宋_GBK" w:eastAsia="方正仿宋_GBK" w:cs="方正仿宋_GBK"/>
                <w:color w:val="auto"/>
                <w:sz w:val="22"/>
                <w:szCs w:val="22"/>
              </w:rPr>
              <w:t>分）</w:t>
            </w: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制度完善</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lang w:eastAsia="zh-CN"/>
              </w:rPr>
              <w:t>有财务、物资管理和质量监管等制度</w:t>
            </w:r>
          </w:p>
        </w:tc>
        <w:tc>
          <w:tcPr>
            <w:tcW w:w="895"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vMerge w:val="restart"/>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rPr>
              <w:t>品牌</w:t>
            </w:r>
            <w:r>
              <w:rPr>
                <w:rFonts w:hint="eastAsia" w:ascii="方正仿宋_GBK" w:hAnsi="方正仿宋_GBK" w:eastAsia="方正仿宋_GBK" w:cs="方正仿宋_GBK"/>
                <w:color w:val="auto"/>
                <w:sz w:val="22"/>
                <w:szCs w:val="22"/>
                <w:lang w:eastAsia="zh-CN"/>
              </w:rPr>
              <w:t>建设</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有产品质量追溯体系</w:t>
            </w:r>
          </w:p>
        </w:tc>
        <w:tc>
          <w:tcPr>
            <w:tcW w:w="895"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val="en-US" w:eastAsia="zh-CN"/>
              </w:rPr>
              <w:t>5</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vMerge w:val="continue"/>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有产品质量安全管理体系</w:t>
            </w:r>
          </w:p>
        </w:tc>
        <w:tc>
          <w:tcPr>
            <w:tcW w:w="895"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vMerge w:val="continue"/>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lang w:eastAsia="zh-CN"/>
              </w:rPr>
            </w:pPr>
            <w:r>
              <w:rPr>
                <w:rFonts w:hint="eastAsia" w:ascii="方正仿宋_GBK" w:hAnsi="方正仿宋_GBK" w:eastAsia="方正仿宋_GBK" w:cs="方正仿宋_GBK"/>
                <w:color w:val="auto"/>
                <w:sz w:val="22"/>
                <w:szCs w:val="22"/>
                <w:lang w:eastAsia="zh-CN"/>
              </w:rPr>
              <w:t>有订单生产</w:t>
            </w:r>
          </w:p>
        </w:tc>
        <w:tc>
          <w:tcPr>
            <w:tcW w:w="895" w:type="dxa"/>
            <w:noWrap w:val="0"/>
            <w:vAlign w:val="center"/>
          </w:tcPr>
          <w:p>
            <w:pPr>
              <w:suppressAutoHyphens/>
              <w:bidi w:val="0"/>
              <w:spacing w:line="360" w:lineRule="exact"/>
              <w:ind w:firstLine="0" w:firstLineChars="0"/>
              <w:jc w:val="center"/>
              <w:rPr>
                <w:rFonts w:hint="default" w:ascii="方正仿宋_GBK" w:hAnsi="方正仿宋_GBK" w:eastAsia="方正仿宋_GBK" w:cs="方正仿宋_GBK"/>
                <w:color w:val="auto"/>
                <w:sz w:val="22"/>
                <w:szCs w:val="22"/>
                <w:lang w:val="en-US" w:eastAsia="zh-CN"/>
              </w:rPr>
            </w:pPr>
            <w:r>
              <w:rPr>
                <w:rFonts w:hint="eastAsia" w:ascii="方正仿宋_GBK" w:hAnsi="方正仿宋_GBK" w:eastAsia="方正仿宋_GBK" w:cs="方正仿宋_GBK"/>
                <w:color w:val="auto"/>
                <w:sz w:val="22"/>
                <w:szCs w:val="22"/>
                <w:lang w:val="en-US" w:eastAsia="zh-CN"/>
              </w:rPr>
              <w:t>5</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restart"/>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带动能力</w:t>
            </w:r>
          </w:p>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rPr>
              <w:t>（2</w:t>
            </w:r>
            <w:r>
              <w:rPr>
                <w:rFonts w:hint="eastAsia" w:ascii="方正仿宋_GBK" w:hAnsi="方正仿宋_GBK" w:eastAsia="方正仿宋_GBK" w:cs="方正仿宋_GBK"/>
                <w:color w:val="auto"/>
                <w:sz w:val="22"/>
                <w:szCs w:val="22"/>
                <w:lang w:val="en-US" w:eastAsia="zh-CN"/>
              </w:rPr>
              <w:t>0</w:t>
            </w:r>
            <w:r>
              <w:rPr>
                <w:rFonts w:hint="eastAsia" w:ascii="方正仿宋_GBK" w:hAnsi="方正仿宋_GBK" w:eastAsia="方正仿宋_GBK" w:cs="方正仿宋_GBK"/>
                <w:color w:val="auto"/>
                <w:sz w:val="22"/>
                <w:szCs w:val="22"/>
              </w:rPr>
              <w:t>分）</w:t>
            </w:r>
          </w:p>
        </w:tc>
        <w:tc>
          <w:tcPr>
            <w:tcW w:w="1820" w:type="dxa"/>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建立机制</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与林农、林业职工建立利益联结机制</w:t>
            </w:r>
          </w:p>
        </w:tc>
        <w:tc>
          <w:tcPr>
            <w:tcW w:w="895"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58" w:type="dxa"/>
            <w:vMerge w:val="continue"/>
            <w:noWrap w:val="0"/>
            <w:vAlign w:val="center"/>
          </w:tcPr>
          <w:p>
            <w:pPr>
              <w:suppressAutoHyphens/>
              <w:bidi w:val="0"/>
              <w:spacing w:line="360" w:lineRule="exact"/>
              <w:jc w:val="center"/>
              <w:rPr>
                <w:rFonts w:hint="eastAsia" w:ascii="方正仿宋_GBK" w:hAnsi="方正仿宋_GBK" w:eastAsia="方正仿宋_GBK" w:cs="方正仿宋_GBK"/>
                <w:color w:val="auto"/>
                <w:sz w:val="22"/>
                <w:szCs w:val="22"/>
              </w:rPr>
            </w:pPr>
          </w:p>
        </w:tc>
        <w:tc>
          <w:tcPr>
            <w:tcW w:w="1820"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r>
              <w:rPr>
                <w:rFonts w:hint="eastAsia" w:ascii="方正仿宋_GBK" w:hAnsi="方正仿宋_GBK" w:eastAsia="方正仿宋_GBK" w:cs="方正仿宋_GBK"/>
                <w:color w:val="auto"/>
                <w:sz w:val="22"/>
                <w:szCs w:val="22"/>
                <w:lang w:eastAsia="zh-CN"/>
              </w:rPr>
              <w:t>带动</w:t>
            </w:r>
            <w:r>
              <w:rPr>
                <w:rFonts w:hint="eastAsia" w:ascii="方正仿宋_GBK" w:hAnsi="方正仿宋_GBK" w:eastAsia="方正仿宋_GBK" w:cs="方正仿宋_GBK"/>
                <w:color w:val="auto"/>
                <w:sz w:val="22"/>
                <w:szCs w:val="22"/>
              </w:rPr>
              <w:t>人数</w:t>
            </w:r>
          </w:p>
        </w:tc>
        <w:tc>
          <w:tcPr>
            <w:tcW w:w="3959" w:type="dxa"/>
            <w:noWrap w:val="0"/>
            <w:vAlign w:val="center"/>
          </w:tcPr>
          <w:p>
            <w:pPr>
              <w:suppressAutoHyphens/>
              <w:bidi w:val="0"/>
              <w:spacing w:line="360" w:lineRule="exact"/>
              <w:ind w:firstLine="0" w:firstLineChars="0"/>
              <w:jc w:val="left"/>
              <w:rPr>
                <w:rFonts w:hint="eastAsia" w:ascii="方正仿宋_GBK" w:hAnsi="方正仿宋_GBK" w:eastAsia="方正仿宋_GBK" w:cs="方正仿宋_GBK"/>
                <w:color w:val="auto"/>
                <w:kern w:val="2"/>
                <w:sz w:val="22"/>
                <w:szCs w:val="22"/>
                <w:lang w:val="en-US" w:eastAsia="zh-CN" w:bidi="ar-SA"/>
              </w:rPr>
            </w:pPr>
            <w:r>
              <w:rPr>
                <w:rFonts w:hint="eastAsia" w:ascii="方正仿宋_GBK" w:hAnsi="方正仿宋_GBK" w:eastAsia="方正仿宋_GBK" w:cs="方正仿宋_GBK"/>
                <w:color w:val="auto"/>
                <w:sz w:val="22"/>
                <w:szCs w:val="22"/>
              </w:rPr>
              <w:t>≥</w:t>
            </w:r>
            <w:r>
              <w:rPr>
                <w:rFonts w:hint="eastAsia" w:ascii="方正仿宋_GBK" w:hAnsi="方正仿宋_GBK" w:eastAsia="方正仿宋_GBK" w:cs="方正仿宋_GBK"/>
                <w:color w:val="auto"/>
                <w:sz w:val="22"/>
                <w:szCs w:val="22"/>
                <w:lang w:val="en-US" w:eastAsia="zh-CN"/>
              </w:rPr>
              <w:t>100</w:t>
            </w:r>
            <w:r>
              <w:rPr>
                <w:rFonts w:hint="eastAsia" w:ascii="方正仿宋_GBK" w:hAnsi="方正仿宋_GBK" w:eastAsia="方正仿宋_GBK" w:cs="方正仿宋_GBK"/>
                <w:color w:val="auto"/>
                <w:sz w:val="22"/>
                <w:szCs w:val="22"/>
              </w:rPr>
              <w:t>人</w:t>
            </w:r>
          </w:p>
        </w:tc>
        <w:tc>
          <w:tcPr>
            <w:tcW w:w="895"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kern w:val="2"/>
                <w:sz w:val="22"/>
                <w:szCs w:val="22"/>
                <w:lang w:val="en-US" w:eastAsia="zh-CN" w:bidi="ar-SA"/>
              </w:rPr>
            </w:pPr>
            <w:r>
              <w:rPr>
                <w:rFonts w:hint="eastAsia" w:ascii="方正仿宋_GBK" w:hAnsi="方正仿宋_GBK" w:eastAsia="方正仿宋_GBK" w:cs="方正仿宋_GBK"/>
                <w:color w:val="auto"/>
                <w:sz w:val="22"/>
                <w:szCs w:val="22"/>
                <w:lang w:val="en-US" w:eastAsia="zh-CN"/>
              </w:rPr>
              <w:t>10</w:t>
            </w:r>
          </w:p>
        </w:tc>
        <w:tc>
          <w:tcPr>
            <w:tcW w:w="814" w:type="dxa"/>
            <w:noWrap w:val="0"/>
            <w:vAlign w:val="center"/>
          </w:tcPr>
          <w:p>
            <w:pPr>
              <w:suppressAutoHyphens/>
              <w:bidi w:val="0"/>
              <w:spacing w:line="360" w:lineRule="exact"/>
              <w:ind w:firstLine="0" w:firstLineChars="0"/>
              <w:jc w:val="center"/>
              <w:rPr>
                <w:rFonts w:hint="eastAsia" w:ascii="方正仿宋_GBK" w:hAnsi="方正仿宋_GBK" w:eastAsia="方正仿宋_GBK" w:cs="方正仿宋_GBK"/>
                <w:color w:val="auto"/>
                <w:sz w:val="22"/>
                <w:szCs w:val="22"/>
              </w:rPr>
            </w:pPr>
          </w:p>
        </w:tc>
      </w:tr>
    </w:tbl>
    <w:p>
      <w:pPr>
        <w:tabs>
          <w:tab w:val="center" w:pos="4461"/>
        </w:tabs>
        <w:ind w:firstLine="300" w:firstLineChars="100"/>
        <w:jc w:val="left"/>
        <w:rPr>
          <w:rFonts w:hint="eastAsia" w:ascii="方正黑体_GBK" w:hAnsi="方正黑体_GBK" w:eastAsia="方正黑体_GBK" w:cs="方正黑体_GBK"/>
          <w:spacing w:val="0"/>
          <w:sz w:val="30"/>
          <w:szCs w:val="30"/>
        </w:rPr>
        <w:sectPr>
          <w:headerReference r:id="rId3" w:type="default"/>
          <w:footerReference r:id="rId4" w:type="default"/>
          <w:footerReference r:id="rId5" w:type="even"/>
          <w:pgSz w:w="11906" w:h="16838"/>
          <w:pgMar w:top="1417" w:right="1531" w:bottom="1417" w:left="1531" w:header="850" w:footer="1417" w:gutter="0"/>
          <w:pgBorders w:offsetFrom="page">
            <w:top w:val="none" w:sz="0" w:space="0"/>
            <w:left w:val="none" w:sz="0" w:space="0"/>
            <w:bottom w:val="none" w:sz="0" w:space="0"/>
            <w:right w:val="none" w:sz="0" w:space="0"/>
          </w:pgBorders>
          <w:pgNumType w:fmt="numberInDash"/>
          <w:cols w:space="720" w:num="1"/>
          <w:rtlGutter w:val="0"/>
          <w:docGrid w:type="linesAndChars" w:linePitch="579" w:charSpace="117"/>
        </w:sectPr>
      </w:pPr>
      <w:bookmarkStart w:id="1" w:name="M_211016175918SxtTrkjBNfGh9CQb7CF"/>
      <w:bookmarkEnd w:id="1"/>
    </w:p>
    <w:p>
      <w:pPr>
        <w:pStyle w:val="4"/>
        <w:keepNext w:val="0"/>
        <w:keepLines w:val="0"/>
        <w:pageBreakBefore w:val="0"/>
        <w:widowControl w:val="0"/>
        <w:kinsoku/>
        <w:wordWrap/>
        <w:overflowPunct/>
        <w:topLinePunct w:val="0"/>
        <w:autoSpaceDE/>
        <w:autoSpaceDN/>
        <w:bidi w:val="0"/>
        <w:adjustRightInd/>
        <w:snapToGrid/>
        <w:textAlignment w:val="auto"/>
        <w:rPr>
          <w:rFonts w:hint="default" w:ascii="国标仿宋-GB/T 2312" w:hAnsi="国标仿宋-GB/T 2312" w:eastAsia="国标仿宋-GB/T 2312" w:cs="国标仿宋-GB/T 2312"/>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国标小标宋-GB/T 2312">
    <w:altName w:val="宋体"/>
    <w:panose1 w:val="02000500000000000000"/>
    <w:charset w:val="86"/>
    <w:family w:val="auto"/>
    <w:pitch w:val="default"/>
    <w:sig w:usb0="00000000" w:usb1="00000000" w:usb2="00000000" w:usb3="00000000" w:csb0="00040000" w:csb1="00000000"/>
  </w:font>
  <w:font w:name="国标仿宋-GB/T 2312">
    <w:altName w:val="仿宋"/>
    <w:panose1 w:val="02000500000000000000"/>
    <w:charset w:val="86"/>
    <w:family w:val="auto"/>
    <w:pitch w:val="default"/>
    <w:sig w:usb0="00000000" w:usb1="00000000" w:usb2="0000001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国标黑体-GB/T 2312">
    <w:altName w:val="黑体"/>
    <w:panose1 w:val="02000500000000000000"/>
    <w:charset w:val="86"/>
    <w:family w:val="auto"/>
    <w:pitch w:val="default"/>
    <w:sig w:usb0="00000000" w:usb1="00000000" w:usb2="00000000" w:usb3="00000000" w:csb0="00040000" w:csb1="00000000"/>
  </w:font>
  <w:font w:name="国标楷体-GB/T 2312">
    <w:altName w:val="楷体_GB2312"/>
    <w:panose1 w:val="020005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p>
    <w:pPr>
      <w:pStyle w:val="5"/>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5"/>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separate"/>
    </w:r>
    <w:r>
      <w:rPr>
        <w:rStyle w:val="11"/>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wps:spPr>
                    <wps:txbx>
                      <w:txbxContent>
                        <w:p>
                          <w:r>
                            <w:t>&lt;root&gt;&lt;sender&gt;houqinjiao@nfga.gov.cn&lt;/sender&gt;&lt;type&gt;2&lt;/type&gt;&lt;subject&gt;定稿正文-国家林下经济示范基地管理办法&lt;/subject&gt;&lt;attachmentName&gt;定稿正文(1).doc&lt;/attachmentName&gt;&lt;addressee&gt;gouyang@nfga.gov.cn&lt;/addressee&gt;&lt;mailSec&gt;无密级&lt;/mailSec&gt;&lt;sendTime&gt;2023-12-27 16:56:57&lt;/sendTime&gt;&lt;loadTime&gt;2023-12-27 16:58:27&lt;/loadTime&gt;&lt;/root&gt;</w:t>
                          </w:r>
                        </w:p>
                      </w:txbxContent>
                    </wps:txbx>
                    <wps:bodyPr upright="1"/>
                  </wps:wsp>
                </a:graphicData>
              </a:graphic>
            </wp:anchor>
          </w:drawing>
        </mc:Choice>
        <mc:Fallback>
          <w:pict>
            <v:shape id="_x0000_s1026"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6Kh+bs0AAAD/AAAADwAAAAAAAAABACAAAAAi&#10;AAAAZHJzL2Rvd25yZXYueG1sUEsBAhQAFAAAAAgAh07iQDeGaRGjAQAARQMAAA4AAAAAAAAAAQAg&#10;AAAAHAEAAGRycy9lMm9Eb2MueG1sUEsFBgAAAAAGAAYAWQEAADEFAAAAAA==&#10;">
              <v:fill on="f" focussize="0,0"/>
              <v:stroke on="f"/>
              <v:imagedata o:title=""/>
              <o:lock v:ext="edit" aspectratio="f"/>
              <v:textbox>
                <w:txbxContent>
                  <w:p>
                    <w:r>
                      <w:t>&lt;root&gt;&lt;sender&gt;houqinjiao@nfga.gov.cn&lt;/sender&gt;&lt;type&gt;2&lt;/type&gt;&lt;subject&gt;定稿正文-国家林下经济示范基地管理办法&lt;/subject&gt;&lt;attachmentName&gt;定稿正文(1).doc&lt;/attachmentName&gt;&lt;addressee&gt;gouyang@nfga.gov.cn&lt;/addressee&gt;&lt;mailSec&gt;无密级&lt;/mailSec&gt;&lt;sendTime&gt;2023-12-27 16:56:57&lt;/sendTime&gt;&lt;loadTime&gt;2023-12-27 16:58:27&lt;/loadTime&gt;&lt;/root&gt;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kYTE3NGNlODRlMTIzZTNmMmM0ZTNhMmNlNmU5YWYifQ=="/>
  </w:docVars>
  <w:rsids>
    <w:rsidRoot w:val="00000000"/>
    <w:rsid w:val="01382836"/>
    <w:rsid w:val="020E3E06"/>
    <w:rsid w:val="02DF63DC"/>
    <w:rsid w:val="032F04D8"/>
    <w:rsid w:val="033B6220"/>
    <w:rsid w:val="0384772C"/>
    <w:rsid w:val="03B15391"/>
    <w:rsid w:val="040E09CD"/>
    <w:rsid w:val="048C2CBE"/>
    <w:rsid w:val="04905D97"/>
    <w:rsid w:val="04C44C50"/>
    <w:rsid w:val="04CB2483"/>
    <w:rsid w:val="050E236F"/>
    <w:rsid w:val="05123C0E"/>
    <w:rsid w:val="053578FC"/>
    <w:rsid w:val="055A0FC0"/>
    <w:rsid w:val="05656433"/>
    <w:rsid w:val="0595579F"/>
    <w:rsid w:val="065C7867"/>
    <w:rsid w:val="067C5327"/>
    <w:rsid w:val="069468A4"/>
    <w:rsid w:val="06B70F10"/>
    <w:rsid w:val="06B807E5"/>
    <w:rsid w:val="06E47B78"/>
    <w:rsid w:val="07634BF4"/>
    <w:rsid w:val="07CD4764"/>
    <w:rsid w:val="07F72A15"/>
    <w:rsid w:val="08C53ED2"/>
    <w:rsid w:val="08CE0793"/>
    <w:rsid w:val="08F9138C"/>
    <w:rsid w:val="09D27E0F"/>
    <w:rsid w:val="09D75426"/>
    <w:rsid w:val="0A261F09"/>
    <w:rsid w:val="0A6508D7"/>
    <w:rsid w:val="0AAC240E"/>
    <w:rsid w:val="0ADE5FAA"/>
    <w:rsid w:val="0B952F4D"/>
    <w:rsid w:val="0C970E9C"/>
    <w:rsid w:val="0CAF01B1"/>
    <w:rsid w:val="0CCA74C4"/>
    <w:rsid w:val="0D26294C"/>
    <w:rsid w:val="0D7A67F4"/>
    <w:rsid w:val="0E160BEA"/>
    <w:rsid w:val="0E4A6718"/>
    <w:rsid w:val="0F6E1383"/>
    <w:rsid w:val="0FA45DAA"/>
    <w:rsid w:val="0FBC3147"/>
    <w:rsid w:val="0FEF171B"/>
    <w:rsid w:val="102E6D1C"/>
    <w:rsid w:val="11032FA4"/>
    <w:rsid w:val="116C6D9B"/>
    <w:rsid w:val="11A63CBF"/>
    <w:rsid w:val="11C42733"/>
    <w:rsid w:val="12155E6E"/>
    <w:rsid w:val="127A5C8A"/>
    <w:rsid w:val="12910332"/>
    <w:rsid w:val="129C21AB"/>
    <w:rsid w:val="12A85BB1"/>
    <w:rsid w:val="130152C1"/>
    <w:rsid w:val="13B91D98"/>
    <w:rsid w:val="14001BB1"/>
    <w:rsid w:val="14BC3B96"/>
    <w:rsid w:val="14D26F15"/>
    <w:rsid w:val="159E0850"/>
    <w:rsid w:val="15A22D8C"/>
    <w:rsid w:val="15CF1273"/>
    <w:rsid w:val="16B32D77"/>
    <w:rsid w:val="1768590F"/>
    <w:rsid w:val="177B7D38"/>
    <w:rsid w:val="17AF0B96"/>
    <w:rsid w:val="17B572A9"/>
    <w:rsid w:val="17D6734C"/>
    <w:rsid w:val="1834299B"/>
    <w:rsid w:val="18373CD1"/>
    <w:rsid w:val="183D6D9C"/>
    <w:rsid w:val="18754787"/>
    <w:rsid w:val="18E01EB7"/>
    <w:rsid w:val="19B412DF"/>
    <w:rsid w:val="1A197672"/>
    <w:rsid w:val="1A78055F"/>
    <w:rsid w:val="1B75323D"/>
    <w:rsid w:val="1BD619E1"/>
    <w:rsid w:val="1C107ED1"/>
    <w:rsid w:val="1C9E0964"/>
    <w:rsid w:val="1CE75528"/>
    <w:rsid w:val="1D540DB7"/>
    <w:rsid w:val="1D7C2114"/>
    <w:rsid w:val="1D9F120E"/>
    <w:rsid w:val="1DD51824"/>
    <w:rsid w:val="1E1973D5"/>
    <w:rsid w:val="1E6C7F29"/>
    <w:rsid w:val="1F176598"/>
    <w:rsid w:val="1FA31BDA"/>
    <w:rsid w:val="1FCD6C57"/>
    <w:rsid w:val="1FD3449F"/>
    <w:rsid w:val="205454D1"/>
    <w:rsid w:val="20C4417D"/>
    <w:rsid w:val="20E00C0C"/>
    <w:rsid w:val="21271BF9"/>
    <w:rsid w:val="22D17D64"/>
    <w:rsid w:val="22D60519"/>
    <w:rsid w:val="22EA5D72"/>
    <w:rsid w:val="236F7465"/>
    <w:rsid w:val="24082954"/>
    <w:rsid w:val="243F5C4A"/>
    <w:rsid w:val="246B3C59"/>
    <w:rsid w:val="24765B0F"/>
    <w:rsid w:val="2479115B"/>
    <w:rsid w:val="248C70E1"/>
    <w:rsid w:val="25BF5294"/>
    <w:rsid w:val="25E24962"/>
    <w:rsid w:val="25E602E6"/>
    <w:rsid w:val="260F533E"/>
    <w:rsid w:val="2628108B"/>
    <w:rsid w:val="263712CE"/>
    <w:rsid w:val="26542095"/>
    <w:rsid w:val="26613753"/>
    <w:rsid w:val="26BD5C77"/>
    <w:rsid w:val="26C62652"/>
    <w:rsid w:val="26EA4592"/>
    <w:rsid w:val="27444631"/>
    <w:rsid w:val="279C4F55"/>
    <w:rsid w:val="27A57C98"/>
    <w:rsid w:val="27DA4A36"/>
    <w:rsid w:val="27E54A18"/>
    <w:rsid w:val="27E70AD2"/>
    <w:rsid w:val="27FF97E5"/>
    <w:rsid w:val="28732366"/>
    <w:rsid w:val="291B6C85"/>
    <w:rsid w:val="2976210D"/>
    <w:rsid w:val="299F7670"/>
    <w:rsid w:val="29AE7AF9"/>
    <w:rsid w:val="29F23E8A"/>
    <w:rsid w:val="2A056BAB"/>
    <w:rsid w:val="2A3925BD"/>
    <w:rsid w:val="2AA1765E"/>
    <w:rsid w:val="2AB63109"/>
    <w:rsid w:val="2B6568DD"/>
    <w:rsid w:val="2B775B7B"/>
    <w:rsid w:val="2B936630"/>
    <w:rsid w:val="2CA174A1"/>
    <w:rsid w:val="2CA60F5C"/>
    <w:rsid w:val="2CFF241A"/>
    <w:rsid w:val="2D940DB4"/>
    <w:rsid w:val="2DB759CE"/>
    <w:rsid w:val="2DFD2DFD"/>
    <w:rsid w:val="2E3F2274"/>
    <w:rsid w:val="2E3F3416"/>
    <w:rsid w:val="2EA61114"/>
    <w:rsid w:val="2EBC18E5"/>
    <w:rsid w:val="2F3445FD"/>
    <w:rsid w:val="2F662C24"/>
    <w:rsid w:val="2F8633A9"/>
    <w:rsid w:val="2F8A6913"/>
    <w:rsid w:val="2FA661D0"/>
    <w:rsid w:val="2FAA0D63"/>
    <w:rsid w:val="2FBE480E"/>
    <w:rsid w:val="2FDE6224"/>
    <w:rsid w:val="2FFE4EEA"/>
    <w:rsid w:val="302723B3"/>
    <w:rsid w:val="30DF4A3C"/>
    <w:rsid w:val="31AB2B70"/>
    <w:rsid w:val="31B62F8A"/>
    <w:rsid w:val="31DD71CE"/>
    <w:rsid w:val="321B7CF6"/>
    <w:rsid w:val="3234700A"/>
    <w:rsid w:val="324E63AF"/>
    <w:rsid w:val="32A63909"/>
    <w:rsid w:val="32BD0DAD"/>
    <w:rsid w:val="332A3758"/>
    <w:rsid w:val="334358FC"/>
    <w:rsid w:val="33A74466"/>
    <w:rsid w:val="33D47BF8"/>
    <w:rsid w:val="346B1A6E"/>
    <w:rsid w:val="347D6A46"/>
    <w:rsid w:val="34BD7997"/>
    <w:rsid w:val="34C25614"/>
    <w:rsid w:val="34DB551B"/>
    <w:rsid w:val="3555351F"/>
    <w:rsid w:val="35725E7F"/>
    <w:rsid w:val="358C04D3"/>
    <w:rsid w:val="35EF4EA0"/>
    <w:rsid w:val="360A4309"/>
    <w:rsid w:val="364610BA"/>
    <w:rsid w:val="365C268B"/>
    <w:rsid w:val="36753BEE"/>
    <w:rsid w:val="36AC53C0"/>
    <w:rsid w:val="36CA1CEB"/>
    <w:rsid w:val="36E44B5A"/>
    <w:rsid w:val="37052D23"/>
    <w:rsid w:val="37092F96"/>
    <w:rsid w:val="371A67CE"/>
    <w:rsid w:val="37CE75B8"/>
    <w:rsid w:val="37DD15AA"/>
    <w:rsid w:val="37E46F63"/>
    <w:rsid w:val="380134EA"/>
    <w:rsid w:val="38934A8A"/>
    <w:rsid w:val="397C3770"/>
    <w:rsid w:val="39867D06"/>
    <w:rsid w:val="398919E9"/>
    <w:rsid w:val="39B051C8"/>
    <w:rsid w:val="39E92488"/>
    <w:rsid w:val="3A881538"/>
    <w:rsid w:val="3AA034D6"/>
    <w:rsid w:val="3ABE3914"/>
    <w:rsid w:val="3B693880"/>
    <w:rsid w:val="3B9D352A"/>
    <w:rsid w:val="3C326368"/>
    <w:rsid w:val="3C494745"/>
    <w:rsid w:val="3CAA23A2"/>
    <w:rsid w:val="3D145A6E"/>
    <w:rsid w:val="3D231C22"/>
    <w:rsid w:val="3DC15BF5"/>
    <w:rsid w:val="3E0C4997"/>
    <w:rsid w:val="3E2919ED"/>
    <w:rsid w:val="3F055FB6"/>
    <w:rsid w:val="3F0833B0"/>
    <w:rsid w:val="3F083603"/>
    <w:rsid w:val="3F34603D"/>
    <w:rsid w:val="3F5D5AEE"/>
    <w:rsid w:val="3F6902F3"/>
    <w:rsid w:val="3FAB1370"/>
    <w:rsid w:val="3FB84DD6"/>
    <w:rsid w:val="40BF3F42"/>
    <w:rsid w:val="4114428E"/>
    <w:rsid w:val="414628EC"/>
    <w:rsid w:val="41872CB2"/>
    <w:rsid w:val="42C27D1A"/>
    <w:rsid w:val="434150E2"/>
    <w:rsid w:val="43702CA0"/>
    <w:rsid w:val="4392593E"/>
    <w:rsid w:val="43AD4526"/>
    <w:rsid w:val="440A4B34"/>
    <w:rsid w:val="44150A49"/>
    <w:rsid w:val="449D459A"/>
    <w:rsid w:val="44BF2763"/>
    <w:rsid w:val="44D22496"/>
    <w:rsid w:val="45230F44"/>
    <w:rsid w:val="452D3B70"/>
    <w:rsid w:val="45FD1795"/>
    <w:rsid w:val="461267F1"/>
    <w:rsid w:val="46130FB8"/>
    <w:rsid w:val="46132D66"/>
    <w:rsid w:val="461E170B"/>
    <w:rsid w:val="468974CC"/>
    <w:rsid w:val="46AF106F"/>
    <w:rsid w:val="46C40504"/>
    <w:rsid w:val="46F10BCE"/>
    <w:rsid w:val="47841A42"/>
    <w:rsid w:val="47FA0404"/>
    <w:rsid w:val="483719F2"/>
    <w:rsid w:val="48E06BDD"/>
    <w:rsid w:val="48E442D9"/>
    <w:rsid w:val="48EB1D78"/>
    <w:rsid w:val="491B408B"/>
    <w:rsid w:val="492359B6"/>
    <w:rsid w:val="498E6BA8"/>
    <w:rsid w:val="49D30BCF"/>
    <w:rsid w:val="4A122519"/>
    <w:rsid w:val="4A235542"/>
    <w:rsid w:val="4A394D65"/>
    <w:rsid w:val="4A7364C9"/>
    <w:rsid w:val="4A9C3BCC"/>
    <w:rsid w:val="4A9D3546"/>
    <w:rsid w:val="4B237A01"/>
    <w:rsid w:val="4B4E4840"/>
    <w:rsid w:val="4B816D9C"/>
    <w:rsid w:val="4B895879"/>
    <w:rsid w:val="4BE96317"/>
    <w:rsid w:val="4C0118B3"/>
    <w:rsid w:val="4C343A36"/>
    <w:rsid w:val="4C8A18A8"/>
    <w:rsid w:val="4D224215"/>
    <w:rsid w:val="4F1162B1"/>
    <w:rsid w:val="4F2566A7"/>
    <w:rsid w:val="4FEAB829"/>
    <w:rsid w:val="5015592D"/>
    <w:rsid w:val="508B2225"/>
    <w:rsid w:val="509251CF"/>
    <w:rsid w:val="50C07F8E"/>
    <w:rsid w:val="50E80C1D"/>
    <w:rsid w:val="51506981"/>
    <w:rsid w:val="516B614C"/>
    <w:rsid w:val="519C4558"/>
    <w:rsid w:val="51E952C3"/>
    <w:rsid w:val="52133030"/>
    <w:rsid w:val="522E717A"/>
    <w:rsid w:val="52770B21"/>
    <w:rsid w:val="52903990"/>
    <w:rsid w:val="52B633F7"/>
    <w:rsid w:val="52C33D66"/>
    <w:rsid w:val="52DE46FC"/>
    <w:rsid w:val="53034162"/>
    <w:rsid w:val="53216A76"/>
    <w:rsid w:val="532B389D"/>
    <w:rsid w:val="53394028"/>
    <w:rsid w:val="53A616BE"/>
    <w:rsid w:val="54574766"/>
    <w:rsid w:val="54F71AA5"/>
    <w:rsid w:val="55915A56"/>
    <w:rsid w:val="55983288"/>
    <w:rsid w:val="55D63DB0"/>
    <w:rsid w:val="56146502"/>
    <w:rsid w:val="56933A4F"/>
    <w:rsid w:val="56C02498"/>
    <w:rsid w:val="56D54068"/>
    <w:rsid w:val="57120E18"/>
    <w:rsid w:val="573F64C1"/>
    <w:rsid w:val="57805D82"/>
    <w:rsid w:val="57EE3633"/>
    <w:rsid w:val="582A2970"/>
    <w:rsid w:val="587C0C3F"/>
    <w:rsid w:val="58B02697"/>
    <w:rsid w:val="58E603BA"/>
    <w:rsid w:val="5A7437D4"/>
    <w:rsid w:val="5A754476"/>
    <w:rsid w:val="5A77F8E2"/>
    <w:rsid w:val="5AB20113"/>
    <w:rsid w:val="5B174C4F"/>
    <w:rsid w:val="5B5E462C"/>
    <w:rsid w:val="5B925489"/>
    <w:rsid w:val="5C5477DD"/>
    <w:rsid w:val="5C9367F6"/>
    <w:rsid w:val="5CF36FF6"/>
    <w:rsid w:val="5D100681"/>
    <w:rsid w:val="5DAD3649"/>
    <w:rsid w:val="5DC737AD"/>
    <w:rsid w:val="5DDD1290"/>
    <w:rsid w:val="5E2B3851"/>
    <w:rsid w:val="5E442DDC"/>
    <w:rsid w:val="5EBF3633"/>
    <w:rsid w:val="5F440FE2"/>
    <w:rsid w:val="5FAB3BB8"/>
    <w:rsid w:val="5FD41360"/>
    <w:rsid w:val="608F0DD7"/>
    <w:rsid w:val="60AE3960"/>
    <w:rsid w:val="60BF5B6D"/>
    <w:rsid w:val="60E94998"/>
    <w:rsid w:val="60FE1F7D"/>
    <w:rsid w:val="61113EEE"/>
    <w:rsid w:val="613C71BD"/>
    <w:rsid w:val="617F5A92"/>
    <w:rsid w:val="618B3CA1"/>
    <w:rsid w:val="61FC3E67"/>
    <w:rsid w:val="622009B6"/>
    <w:rsid w:val="6245462F"/>
    <w:rsid w:val="624E7206"/>
    <w:rsid w:val="62550AF8"/>
    <w:rsid w:val="627D5CDF"/>
    <w:rsid w:val="62C55A02"/>
    <w:rsid w:val="62FA7330"/>
    <w:rsid w:val="63224191"/>
    <w:rsid w:val="65137687"/>
    <w:rsid w:val="65404DA2"/>
    <w:rsid w:val="657E215B"/>
    <w:rsid w:val="65B17A4E"/>
    <w:rsid w:val="65B85280"/>
    <w:rsid w:val="65DC71ED"/>
    <w:rsid w:val="666D7E19"/>
    <w:rsid w:val="667C4500"/>
    <w:rsid w:val="66AA6977"/>
    <w:rsid w:val="67073DC9"/>
    <w:rsid w:val="67452B44"/>
    <w:rsid w:val="678011CE"/>
    <w:rsid w:val="685748DD"/>
    <w:rsid w:val="685C6397"/>
    <w:rsid w:val="68927543"/>
    <w:rsid w:val="68AA7102"/>
    <w:rsid w:val="68F21DD6"/>
    <w:rsid w:val="691C3C6D"/>
    <w:rsid w:val="694E3F32"/>
    <w:rsid w:val="696848C8"/>
    <w:rsid w:val="696A4AE4"/>
    <w:rsid w:val="6976070D"/>
    <w:rsid w:val="6A0445F0"/>
    <w:rsid w:val="6A723C50"/>
    <w:rsid w:val="6AD06BC8"/>
    <w:rsid w:val="6B13087C"/>
    <w:rsid w:val="6B855C05"/>
    <w:rsid w:val="6BAC13E3"/>
    <w:rsid w:val="6C007443"/>
    <w:rsid w:val="6C24541E"/>
    <w:rsid w:val="6C620460"/>
    <w:rsid w:val="6C760165"/>
    <w:rsid w:val="6C94505B"/>
    <w:rsid w:val="6C953C26"/>
    <w:rsid w:val="6CA200F0"/>
    <w:rsid w:val="6CEE4F56"/>
    <w:rsid w:val="6D1F1741"/>
    <w:rsid w:val="6D9A3DB1"/>
    <w:rsid w:val="6E160D96"/>
    <w:rsid w:val="6E7D71C4"/>
    <w:rsid w:val="6F4446A3"/>
    <w:rsid w:val="6F8843CC"/>
    <w:rsid w:val="6F8D5088"/>
    <w:rsid w:val="6F977CB5"/>
    <w:rsid w:val="6FB00E0F"/>
    <w:rsid w:val="6FB24AEE"/>
    <w:rsid w:val="6FCC091D"/>
    <w:rsid w:val="706F478E"/>
    <w:rsid w:val="708741CD"/>
    <w:rsid w:val="70EF0AB4"/>
    <w:rsid w:val="715F1BDC"/>
    <w:rsid w:val="72BB015E"/>
    <w:rsid w:val="72D82ABE"/>
    <w:rsid w:val="72F53670"/>
    <w:rsid w:val="73375A36"/>
    <w:rsid w:val="738E711F"/>
    <w:rsid w:val="741438C2"/>
    <w:rsid w:val="744A79EB"/>
    <w:rsid w:val="745F0A94"/>
    <w:rsid w:val="74611500"/>
    <w:rsid w:val="747801A9"/>
    <w:rsid w:val="75BA225E"/>
    <w:rsid w:val="760616F0"/>
    <w:rsid w:val="761107C1"/>
    <w:rsid w:val="761402B1"/>
    <w:rsid w:val="763C3364"/>
    <w:rsid w:val="769D3E02"/>
    <w:rsid w:val="76A50F09"/>
    <w:rsid w:val="774E334F"/>
    <w:rsid w:val="77527133"/>
    <w:rsid w:val="77CF26E1"/>
    <w:rsid w:val="77F8480C"/>
    <w:rsid w:val="78030628"/>
    <w:rsid w:val="78782D79"/>
    <w:rsid w:val="78882EF5"/>
    <w:rsid w:val="78981BAF"/>
    <w:rsid w:val="79336EF1"/>
    <w:rsid w:val="79D833A4"/>
    <w:rsid w:val="7A33472F"/>
    <w:rsid w:val="7AA87673"/>
    <w:rsid w:val="7AF34939"/>
    <w:rsid w:val="7B445194"/>
    <w:rsid w:val="7B790344"/>
    <w:rsid w:val="7BCF297A"/>
    <w:rsid w:val="7C211032"/>
    <w:rsid w:val="7C271B08"/>
    <w:rsid w:val="7C35666D"/>
    <w:rsid w:val="7D050953"/>
    <w:rsid w:val="7D456FA2"/>
    <w:rsid w:val="7D5E0064"/>
    <w:rsid w:val="7D831878"/>
    <w:rsid w:val="7DAB14FB"/>
    <w:rsid w:val="7DFE80E0"/>
    <w:rsid w:val="7F453289"/>
    <w:rsid w:val="7F5B6F14"/>
    <w:rsid w:val="7F9140C2"/>
    <w:rsid w:val="7FFA0518"/>
    <w:rsid w:val="8FFAB10F"/>
    <w:rsid w:val="EEEF9A32"/>
    <w:rsid w:val="FAEF4141"/>
    <w:rsid w:val="FBBB851E"/>
    <w:rsid w:val="FEDD9551"/>
    <w:rsid w:val="FEFD988C"/>
    <w:rsid w:val="FEFF81E7"/>
    <w:rsid w:val="FEFFD5C5"/>
    <w:rsid w:val="FF797E50"/>
    <w:rsid w:val="FFDFAD75"/>
    <w:rsid w:val="FFEF8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Plain Text"/>
    <w:basedOn w:val="1"/>
    <w:qFormat/>
    <w:uiPriority w:val="99"/>
    <w:rPr>
      <w:rFonts w:ascii="宋体" w:hAnsi="Courier New"/>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autoRedefine/>
    <w:qFormat/>
    <w:uiPriority w:val="0"/>
    <w:pPr>
      <w:ind w:firstLine="420" w:firstLineChars="200"/>
    </w:pPr>
  </w:style>
  <w:style w:type="character" w:styleId="11">
    <w:name w:val="page number"/>
    <w:basedOn w:val="10"/>
    <w:qFormat/>
    <w:uiPriority w:val="0"/>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NormalCharacter"/>
    <w:autoRedefine/>
    <w:semiHidden/>
    <w:qFormat/>
    <w:uiPriority w:val="0"/>
  </w:style>
  <w:style w:type="character" w:customStyle="1" w:styleId="14">
    <w:name w:val="UserStyle_0"/>
    <w:autoRedefine/>
    <w:semiHidden/>
    <w:qFormat/>
    <w:uiPriority w:val="0"/>
    <w:rPr>
      <w:rFonts w:ascii="Calibri" w:hAnsi="Calibri"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4368</Words>
  <Characters>4782</Characters>
  <Lines>0</Lines>
  <Paragraphs>0</Paragraphs>
  <TotalTime>27</TotalTime>
  <ScaleCrop>false</ScaleCrop>
  <LinksUpToDate>false</LinksUpToDate>
  <CharactersWithSpaces>4806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2024-09-29T16:08:00Z</dcterms:created>
  <dc:creator>Administrator</dc:creator>
  <cp:lastModifiedBy>WPS_1492767259</cp:lastModifiedBy>
  <cp:lastPrinted>2026-01-09T10:06:00Z</cp:lastPrinted>
  <dcterms:modified xsi:type="dcterms:W3CDTF">2026-03-09T01:05:48Z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9CACB0FCC47CB147387029698A9F36EC_43</vt:lpwstr>
  </property>
</Properties>
</file>